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57" w:after="57"/>
        <w:jc w:val="center"/>
        <w:rPr>
          <w:rFonts w:ascii="Verdana" w:hAnsi="Verdana"/>
          <w:sz w:val="26"/>
          <w:szCs w:val="26"/>
        </w:rPr>
      </w:pPr>
      <w:r>
        <w:rPr>
          <w:rFonts w:cs="Arial" w:ascii="Verdana" w:hAnsi="Verdana"/>
          <w:b/>
          <w:bCs/>
          <w:smallCaps/>
          <w:color w:val="000000"/>
          <w:sz w:val="26"/>
          <w:szCs w:val="26"/>
        </w:rPr>
        <w:t xml:space="preserve">EDITAL </w:t>
      </w:r>
    </w:p>
    <w:p>
      <w:pPr>
        <w:pStyle w:val="Normal"/>
        <w:spacing w:lineRule="auto" w:line="276" w:before="57" w:after="57"/>
        <w:jc w:val="center"/>
        <w:rPr>
          <w:rFonts w:ascii="Verdana" w:hAnsi="Verdana" w:cs="Arial"/>
          <w:b/>
          <w:bCs/>
          <w:smallCaps/>
          <w:color w:val="000000"/>
          <w:sz w:val="26"/>
          <w:szCs w:val="26"/>
        </w:rPr>
      </w:pPr>
      <w:r>
        <w:rPr>
          <w:rFonts w:cs="Arial" w:ascii="Verdana" w:hAnsi="Verdana"/>
          <w:b/>
          <w:bCs/>
          <w:smallCaps/>
          <w:color w:val="000000"/>
          <w:sz w:val="26"/>
          <w:szCs w:val="26"/>
        </w:rPr>
        <w:t>PREGÃO ELETRÔNICO Nº 004/2024</w:t>
      </w:r>
    </w:p>
    <w:p>
      <w:pPr>
        <w:pStyle w:val="Normal"/>
        <w:spacing w:lineRule="auto" w:line="276" w:before="57" w:after="57"/>
        <w:jc w:val="center"/>
        <w:rPr>
          <w:rFonts w:ascii="Verdana" w:hAnsi="Verdana"/>
          <w:sz w:val="26"/>
          <w:szCs w:val="26"/>
        </w:rPr>
      </w:pPr>
      <w:r>
        <w:rPr>
          <w:rFonts w:cs="Arial" w:ascii="Verdana" w:hAnsi="Verdana"/>
          <w:b/>
          <w:bCs/>
          <w:smallCaps/>
          <w:color w:val="000000"/>
          <w:sz w:val="26"/>
          <w:szCs w:val="26"/>
        </w:rPr>
        <w:t>REEDIÇÃO</w:t>
      </w:r>
    </w:p>
    <w:p>
      <w:pPr>
        <w:pStyle w:val="Normal"/>
        <w:spacing w:lineRule="auto" w:line="276" w:before="57" w:after="57"/>
        <w:jc w:val="center"/>
        <w:rPr>
          <w:rFonts w:ascii="Verdana" w:hAnsi="Verdana"/>
          <w:sz w:val="26"/>
          <w:szCs w:val="26"/>
        </w:rPr>
      </w:pPr>
      <w:r>
        <w:rPr>
          <w:rFonts w:cs="Arial" w:ascii="Verdana" w:hAnsi="Verdana"/>
          <w:b/>
          <w:bCs/>
          <w:smallCaps/>
          <w:color w:val="000000"/>
          <w:sz w:val="26"/>
          <w:szCs w:val="26"/>
        </w:rPr>
        <w:t>(Processo Administrativo n° 340/2024 de 17/01/2024)</w:t>
      </w:r>
    </w:p>
    <w:p>
      <w:pPr>
        <w:pStyle w:val="Normal"/>
        <w:spacing w:lineRule="auto" w:line="276" w:before="57" w:after="57"/>
        <w:jc w:val="center"/>
        <w:rPr>
          <w:rFonts w:ascii="Verdana" w:hAnsi="Verdana"/>
          <w:sz w:val="20"/>
          <w:szCs w:val="20"/>
        </w:rPr>
      </w:pPr>
      <w:r>
        <w:rPr>
          <w:rFonts w:ascii="Verdana" w:hAnsi="Verdana"/>
          <w:sz w:val="20"/>
          <w:szCs w:val="20"/>
        </w:rPr>
      </w:r>
    </w:p>
    <w:p>
      <w:pPr>
        <w:pStyle w:val="BodyText"/>
        <w:spacing w:lineRule="auto" w:line="276" w:before="57" w:after="57"/>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Data da sessão: 2</w:t>
      </w:r>
      <w:r>
        <w:rPr>
          <w:rFonts w:cs="Arial" w:ascii="Verdana" w:hAnsi="Verdana"/>
          <w:b/>
          <w:bCs/>
          <w:color w:val="000000"/>
          <w:sz w:val="20"/>
          <w:szCs w:val="20"/>
        </w:rPr>
        <w:t>4</w:t>
      </w:r>
      <w:r>
        <w:rPr>
          <w:rFonts w:cs="Arial" w:ascii="Verdana" w:hAnsi="Verdana"/>
          <w:b/>
          <w:bCs/>
          <w:color w:val="000000"/>
          <w:sz w:val="20"/>
          <w:szCs w:val="20"/>
        </w:rPr>
        <w:t>/01/2024/2024.</w:t>
      </w:r>
    </w:p>
    <w:p>
      <w:pPr>
        <w:pStyle w:val="Normal"/>
        <w:spacing w:lineRule="auto" w:line="276" w:before="57" w:after="57"/>
        <w:rPr>
          <w:rFonts w:ascii="Verdana" w:hAnsi="Verdana"/>
          <w:sz w:val="20"/>
          <w:szCs w:val="20"/>
        </w:rPr>
      </w:pPr>
      <w:r>
        <w:rPr>
          <w:rFonts w:cs="Arial" w:ascii="Verdana" w:hAnsi="Verdana"/>
          <w:b/>
          <w:bCs/>
          <w:color w:val="000000"/>
          <w:sz w:val="20"/>
          <w:szCs w:val="20"/>
        </w:rPr>
        <w:t>Horário: 08h00min.</w:t>
      </w:r>
    </w:p>
    <w:p>
      <w:pPr>
        <w:pStyle w:val="Normal"/>
        <w:spacing w:lineRule="auto" w:line="276" w:before="57" w:after="57"/>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before="57" w:after="57"/>
        <w:rPr>
          <w:rFonts w:ascii="Verdana" w:hAnsi="Verdana"/>
          <w:sz w:val="20"/>
          <w:szCs w:val="20"/>
        </w:rPr>
      </w:pPr>
      <w:r>
        <w:rPr>
          <w:rFonts w:cs="Arial" w:ascii="Verdana" w:hAnsi="Verdana"/>
          <w:b/>
          <w:bCs/>
          <w:sz w:val="20"/>
          <w:szCs w:val="20"/>
        </w:rPr>
        <w:t>CIDADES: 2024.065E0500003.01.0005</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DO OBJETO</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 xml:space="preserve">1.1 O objeto da presente licitação é a </w:t>
      </w:r>
      <w:bookmarkStart w:id="1" w:name="__DdeLink__855_1388181997"/>
      <w:r>
        <w:rPr>
          <w:rFonts w:eastAsia="Arial" w:cs="Arial" w:ascii="Verdana" w:hAnsi="Verdana"/>
          <w:sz w:val="20"/>
          <w:szCs w:val="20"/>
        </w:rPr>
        <w:t>contratação de empresa para prestação de serviços de inspeção técnica de segurança veicular, para renovação dos termos de autorização emitidos pelo DETRAN/ES e vistoria mecânica com emissão de laudo a CETURB/ES, necessários aos veículos</w:t>
      </w:r>
      <w:r>
        <w:rPr>
          <w:rFonts w:eastAsia="Arial" w:cs="Arial" w:ascii="Verdana" w:hAnsi="Verdana"/>
          <w:color w:val="000000"/>
          <w:sz w:val="20"/>
          <w:szCs w:val="20"/>
        </w:rPr>
        <w:t>, da Secretaria Municipal de Educação</w:t>
      </w:r>
      <w:bookmarkEnd w:id="1"/>
      <w:r>
        <w:rPr>
          <w:rFonts w:eastAsia="Batang;바탕" w:cs="Arial" w:ascii="Verdana" w:hAnsi="Verdana"/>
          <w:color w:val="000000"/>
          <w:kern w:val="2"/>
          <w:sz w:val="20"/>
          <w:szCs w:val="20"/>
          <w:lang w:eastAsia="en-US" w:bidi="pt-BR"/>
        </w:rPr>
        <w:t>, conforme c</w:t>
      </w:r>
      <w:r>
        <w:rPr>
          <w:rFonts w:cs="Arial" w:ascii="Verdana" w:hAnsi="Verdana"/>
          <w:sz w:val="20"/>
          <w:szCs w:val="20"/>
        </w:rPr>
        <w:t>ondições, quantidades e exigências estabelecidas neste Edital e seus anexos.</w:t>
      </w:r>
    </w:p>
    <w:p>
      <w:pPr>
        <w:pStyle w:val="Normal"/>
        <w:spacing w:lineRule="auto" w:line="276" w:before="57" w:after="57"/>
        <w:jc w:val="both"/>
        <w:rPr>
          <w:rFonts w:ascii="Verdana" w:hAnsi="Verdana"/>
          <w:sz w:val="20"/>
          <w:szCs w:val="20"/>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lineRule="auto" w:line="276"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DO CREDENCIAMENTO</w:t>
      </w:r>
    </w:p>
    <w:p>
      <w:pPr>
        <w:pStyle w:val="Default"/>
        <w:spacing w:lineRule="auto" w:line="276" w:before="57" w:after="57"/>
        <w:jc w:val="both"/>
        <w:rPr>
          <w:rFonts w:ascii="Verdana" w:hAnsi="Verdana"/>
          <w:sz w:val="20"/>
          <w:szCs w:val="20"/>
        </w:rPr>
      </w:pPr>
      <w:r>
        <w:rPr>
          <w:rFonts w:ascii="Verdana" w:hAnsi="Verdana"/>
          <w:sz w:val="20"/>
          <w:szCs w:val="20"/>
        </w:rPr>
        <w:t xml:space="preserve">2.1.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before="57" w:after="57"/>
        <w:jc w:val="both"/>
        <w:rPr>
          <w:rFonts w:ascii="Verdana" w:hAnsi="Verdana"/>
          <w:sz w:val="20"/>
          <w:szCs w:val="20"/>
        </w:rPr>
      </w:pPr>
      <w:r>
        <w:rPr>
          <w:rFonts w:ascii="Verdana" w:hAnsi="Verdana"/>
          <w:sz w:val="20"/>
          <w:szCs w:val="20"/>
        </w:rPr>
        <w:t xml:space="preserve">2.2.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before="57" w:after="57"/>
        <w:jc w:val="both"/>
        <w:rPr>
          <w:rFonts w:ascii="Verdana" w:hAnsi="Verdana"/>
          <w:sz w:val="20"/>
          <w:szCs w:val="20"/>
        </w:rPr>
      </w:pPr>
      <w:r>
        <w:rPr>
          <w:rFonts w:ascii="Verdana" w:hAnsi="Verdana"/>
          <w:sz w:val="20"/>
          <w:szCs w:val="20"/>
        </w:rPr>
        <w:t xml:space="preserve">2.3. É de exclusiva responsabilidade do usuário o sigilo da senha, bem como seu uso em qualquer transação efetuada. </w:t>
      </w:r>
    </w:p>
    <w:p>
      <w:pPr>
        <w:pStyle w:val="Default"/>
        <w:spacing w:lineRule="auto" w:line="276" w:before="57" w:after="57"/>
        <w:jc w:val="both"/>
        <w:rPr>
          <w:rFonts w:ascii="Verdana" w:hAnsi="Verdana"/>
          <w:sz w:val="20"/>
          <w:szCs w:val="20"/>
        </w:rPr>
      </w:pPr>
      <w:r>
        <w:rPr>
          <w:rFonts w:ascii="Verdana" w:hAnsi="Verdana"/>
          <w:sz w:val="20"/>
          <w:szCs w:val="20"/>
        </w:rPr>
        <w:t xml:space="preserve">2.4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before="57" w:after="57"/>
        <w:jc w:val="both"/>
        <w:rPr>
          <w:rFonts w:ascii="Verdana" w:hAnsi="Verdana"/>
          <w:sz w:val="20"/>
          <w:szCs w:val="20"/>
        </w:rPr>
      </w:pPr>
      <w:r>
        <w:rPr>
          <w:rFonts w:cs="Arial" w:ascii="Verdana" w:hAnsi="Verdana"/>
          <w:bCs/>
          <w:iCs/>
          <w:sz w:val="20"/>
          <w:szCs w:val="20"/>
        </w:rPr>
        <w:t>2.5.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57" w:after="57"/>
        <w:jc w:val="both"/>
        <w:rPr>
          <w:rFonts w:ascii="Verdana" w:hAnsi="Verdana"/>
          <w:sz w:val="20"/>
          <w:szCs w:val="20"/>
        </w:rPr>
      </w:pPr>
      <w:r>
        <w:rPr>
          <w:rFonts w:cs="Arial" w:ascii="Verdana" w:hAnsi="Verdana"/>
          <w:bCs/>
          <w:iCs/>
          <w:sz w:val="20"/>
          <w:szCs w:val="20"/>
        </w:rPr>
        <w:t>2.6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76"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DA PARTICIPAÇÃO NO PREGÃO.</w:t>
      </w:r>
    </w:p>
    <w:p>
      <w:pPr>
        <w:pStyle w:val="Normal"/>
        <w:spacing w:lineRule="auto" w:line="276" w:before="57" w:after="57"/>
        <w:jc w:val="both"/>
        <w:rPr>
          <w:rFonts w:ascii="Verdana" w:hAnsi="Verdana"/>
          <w:sz w:val="20"/>
          <w:szCs w:val="20"/>
        </w:rPr>
      </w:pPr>
      <w:r>
        <w:rPr>
          <w:rFonts w:cs="Arial" w:ascii="Verdana" w:hAnsi="Verdana"/>
          <w:bCs/>
          <w:color w:val="000000"/>
          <w:sz w:val="20"/>
          <w:szCs w:val="20"/>
        </w:rPr>
        <w:t>3.1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before="57" w:after="57"/>
        <w:jc w:val="both"/>
        <w:rPr>
          <w:rFonts w:ascii="Verdana" w:hAnsi="Verdana"/>
          <w:sz w:val="20"/>
          <w:szCs w:val="20"/>
        </w:rPr>
      </w:pPr>
      <w:r>
        <w:rPr>
          <w:rFonts w:cs="Arial" w:ascii="Verdana" w:hAnsi="Verdana"/>
          <w:bCs/>
          <w:iCs/>
          <w:color w:val="000000"/>
          <w:sz w:val="20"/>
          <w:szCs w:val="20"/>
        </w:rPr>
        <w:t>3.2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57"/>
        <w:jc w:val="both"/>
        <w:rPr>
          <w:rFonts w:ascii="Verdana" w:hAnsi="Verdana"/>
          <w:sz w:val="20"/>
          <w:szCs w:val="20"/>
        </w:rPr>
      </w:pPr>
      <w:r>
        <w:rPr>
          <w:rFonts w:cs="Arial" w:ascii="Verdana" w:hAnsi="Verdana"/>
          <w:bCs/>
          <w:iCs/>
          <w:color w:val="000000"/>
          <w:sz w:val="20"/>
          <w:szCs w:val="20"/>
        </w:rPr>
        <w:t>3.2.1</w:t>
      </w:r>
      <w:r>
        <w:rPr>
          <w:rFonts w:cs="Arial" w:ascii="Verdana" w:hAnsi="Verdana"/>
          <w:b/>
          <w:bCs/>
          <w:iCs/>
          <w:color w:val="000000"/>
          <w:sz w:val="20"/>
          <w:szCs w:val="20"/>
        </w:rPr>
        <w:t xml:space="preserve"> </w:t>
      </w:r>
      <w:r>
        <w:rPr>
          <w:rFonts w:cs="Arial" w:ascii="Verdana" w:hAnsi="Verdana"/>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76" w:before="57" w:after="57"/>
        <w:jc w:val="both"/>
        <w:rPr/>
      </w:pPr>
      <w:r>
        <w:rPr>
          <w:rFonts w:cs="Arial" w:ascii="Verdana" w:hAnsi="Verdana"/>
          <w:iCs/>
          <w:color w:val="000000"/>
          <w:sz w:val="20"/>
          <w:szCs w:val="20"/>
          <w:shd w:fill="FFFF00" w:val="clear"/>
        </w:rPr>
        <w:t xml:space="preserve">3.2.2 </w:t>
      </w:r>
      <w:r>
        <w:rPr>
          <w:rFonts w:cs="Arial" w:ascii="Verdana" w:hAnsi="Verdana"/>
          <w:bCs/>
          <w:iCs/>
          <w:color w:val="000000"/>
          <w:sz w:val="20"/>
          <w:szCs w:val="20"/>
          <w:shd w:fill="FFFF00" w:val="clear"/>
        </w:rPr>
        <w:t xml:space="preserve">Poderão participar da licitação </w:t>
      </w:r>
      <w:r>
        <w:rPr>
          <w:rFonts w:cs="Arial" w:ascii="Verdana" w:hAnsi="Verdana"/>
          <w:b/>
          <w:bCs/>
          <w:iCs/>
          <w:color w:val="000000"/>
          <w:sz w:val="20"/>
          <w:szCs w:val="20"/>
          <w:shd w:fill="FFFF00" w:val="clear"/>
        </w:rPr>
        <w:t xml:space="preserve">apenas </w:t>
      </w:r>
      <w:r>
        <w:rPr>
          <w:rFonts w:cs="Arial" w:ascii="Verdana" w:hAnsi="Verdana"/>
          <w:bCs/>
          <w:iCs/>
          <w:color w:val="000000"/>
          <w:sz w:val="20"/>
          <w:szCs w:val="20"/>
          <w:shd w:fill="FFFF00" w:val="clear"/>
        </w:rPr>
        <w:t xml:space="preserve">as empresas interessadas qualificadas, na forma da Lei Complementar nº 123/2006, </w:t>
      </w:r>
      <w:r>
        <w:rPr>
          <w:rFonts w:cs="Arial" w:ascii="Verdana" w:hAnsi="Verdana"/>
          <w:b/>
          <w:bCs/>
          <w:iCs/>
          <w:color w:val="000000"/>
          <w:sz w:val="20"/>
          <w:szCs w:val="20"/>
          <w:u w:val="single"/>
          <w:shd w:fill="FFFF00" w:val="clear"/>
        </w:rPr>
        <w:t>como microempresa (ME) ou empresa de pequeno porte (EPP)</w:t>
      </w:r>
      <w:r>
        <w:rPr>
          <w:rFonts w:cs="Arial" w:ascii="Verdana" w:hAnsi="Verdana"/>
          <w:bCs/>
          <w:iCs/>
          <w:color w:val="000000"/>
          <w:sz w:val="20"/>
          <w:szCs w:val="20"/>
          <w:shd w:fill="FFFF00" w:val="clear"/>
        </w:rPr>
        <w:t xml:space="preserve"> 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b/>
            <w:bCs/>
            <w:i/>
            <w:iCs/>
            <w:sz w:val="20"/>
            <w:szCs w:val="20"/>
            <w:shd w:fill="FFFF00" w:val="clear"/>
          </w:rPr>
          <w:t>www.portaldecompraspublicas.com.br</w:t>
        </w:r>
      </w:hyperlink>
      <w:r>
        <w:rPr>
          <w:rStyle w:val="InternetLink"/>
          <w:rFonts w:cs="Arial" w:ascii="Verdana" w:hAnsi="Verdana"/>
          <w:b/>
          <w:bCs/>
          <w:iCs/>
          <w:sz w:val="20"/>
          <w:szCs w:val="20"/>
          <w:shd w:fill="FFFF00" w:val="clear"/>
        </w:rPr>
        <w:t>.</w:t>
      </w:r>
      <w:r>
        <w:rPr>
          <w:rFonts w:cs="Arial" w:ascii="Verdana" w:hAnsi="Verdana"/>
          <w:bCs/>
          <w:iCs/>
          <w:color w:val="000000"/>
          <w:sz w:val="20"/>
          <w:szCs w:val="20"/>
          <w:shd w:fill="FFFF00" w:val="clear"/>
        </w:rPr>
        <w:t xml:space="preserve"> </w:t>
      </w:r>
    </w:p>
    <w:p>
      <w:pPr>
        <w:pStyle w:val="Normal"/>
        <w:snapToGrid w:val="false"/>
        <w:spacing w:lineRule="auto" w:line="276" w:before="57" w:after="57"/>
        <w:jc w:val="both"/>
        <w:rPr>
          <w:rFonts w:ascii="Verdana" w:hAnsi="Verdana"/>
          <w:sz w:val="20"/>
          <w:szCs w:val="20"/>
        </w:rPr>
      </w:pPr>
      <w:r>
        <w:rPr>
          <w:rFonts w:cs="Arial" w:ascii="Verdana" w:hAnsi="Verdana"/>
          <w:bCs/>
          <w:color w:val="000000"/>
          <w:sz w:val="20"/>
          <w:szCs w:val="20"/>
        </w:rPr>
        <w:t>3.3 Não poderão participar desta licitação os interessados:</w:t>
      </w:r>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bCs/>
          <w:sz w:val="20"/>
          <w:szCs w:val="20"/>
        </w:rPr>
        <w:t>3.3.1 Proibidos de participar de licitações e celebrar contratos administrativos, na forma da legislação vigente;</w:t>
      </w:r>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bCs/>
          <w:sz w:val="20"/>
          <w:szCs w:val="20"/>
        </w:rPr>
        <w:t>3.3.2 Que não atendam às condições deste Edital e seu(s) anexo(s);</w:t>
      </w:r>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bCs/>
          <w:color w:val="000000"/>
          <w:sz w:val="20"/>
          <w:szCs w:val="20"/>
        </w:rPr>
        <w:t>3.3.3 A</w:t>
      </w:r>
      <w:bookmarkStart w:id="2"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2"/>
    </w:p>
    <w:p>
      <w:pPr>
        <w:pStyle w:val="Normal"/>
        <w:tabs>
          <w:tab w:val="clear" w:pos="720"/>
          <w:tab w:val="left" w:pos="1440" w:leader="none"/>
        </w:tabs>
        <w:snapToGrid w:val="false"/>
        <w:spacing w:lineRule="auto" w:line="276" w:before="57" w:after="57"/>
        <w:jc w:val="both"/>
        <w:rPr>
          <w:rFonts w:ascii="Verdana" w:hAnsi="Verdana"/>
          <w:sz w:val="20"/>
          <w:szCs w:val="20"/>
        </w:rPr>
      </w:pPr>
      <w:r>
        <w:rPr>
          <w:rFonts w:eastAsia="Arial Unicode MS" w:cs="Arial" w:ascii="Verdana" w:hAnsi="Verdana"/>
          <w:color w:val="000000"/>
          <w:sz w:val="20"/>
          <w:szCs w:val="20"/>
        </w:rPr>
        <w:t>3.3.4 E</w:t>
      </w:r>
      <w:bookmarkStart w:id="3"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3.3.5 P</w:t>
      </w:r>
      <w:bookmarkStart w:id="4"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4"/>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rPr>
        <w:t>3.3.6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3.3.7 E</w:t>
      </w:r>
      <w:bookmarkStart w:id="5" w:name="_Ref113883579"/>
      <w:r>
        <w:rPr>
          <w:rFonts w:cs="Arial" w:ascii="Verdana" w:hAnsi="Verdana"/>
          <w:color w:val="000000"/>
          <w:sz w:val="20"/>
          <w:szCs w:val="20"/>
        </w:rPr>
        <w:t>mpresas controladoras, controladas ou coligadas, nos termos da Lei nº 6.404, de 15 de dezembro de 1976, concorrendo entre si;</w:t>
      </w:r>
      <w:bookmarkEnd w:id="5"/>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3.3.8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57" w:after="57"/>
        <w:jc w:val="both"/>
        <w:rPr>
          <w:rFonts w:ascii="Verdana" w:hAnsi="Verdana"/>
          <w:sz w:val="20"/>
          <w:szCs w:val="20"/>
        </w:rPr>
      </w:pPr>
      <w:r>
        <w:rPr>
          <w:rFonts w:cs="Arial" w:ascii="Verdana" w:hAnsi="Verdana"/>
          <w:color w:val="000000"/>
          <w:sz w:val="20"/>
          <w:szCs w:val="20"/>
        </w:rPr>
        <w:t>3.3.9 A</w:t>
      </w:r>
      <w:bookmarkStart w:id="6" w:name="_Ref113962336"/>
      <w:r>
        <w:rPr>
          <w:rFonts w:cs="Arial" w:ascii="Verdana" w:hAnsi="Verdana"/>
          <w:color w:val="000000"/>
          <w:sz w:val="20"/>
          <w:szCs w:val="20"/>
        </w:rPr>
        <w:t>gente público do órgão ou entidade licitante;</w:t>
      </w:r>
      <w:bookmarkEnd w:id="6"/>
    </w:p>
    <w:p>
      <w:pPr>
        <w:pStyle w:val="Normal"/>
        <w:snapToGrid w:val="false"/>
        <w:spacing w:lineRule="auto" w:line="276" w:before="57" w:after="57"/>
        <w:jc w:val="both"/>
        <w:rPr>
          <w:rFonts w:ascii="Verdana" w:hAnsi="Verdana"/>
          <w:sz w:val="20"/>
          <w:szCs w:val="20"/>
        </w:rPr>
      </w:pPr>
      <w:r>
        <w:rPr>
          <w:rFonts w:cs="Arial" w:ascii="Verdana" w:hAnsi="Verdana"/>
          <w:bCs/>
          <w:color w:val="000000"/>
          <w:sz w:val="20"/>
          <w:szCs w:val="20"/>
        </w:rPr>
        <w:t>3.3.10 Organizações da Sociedade Civil interesse Público – OSCIP, atuando nessa condição;</w:t>
      </w:r>
    </w:p>
    <w:p>
      <w:pPr>
        <w:pStyle w:val="Normal"/>
        <w:snapToGrid w:val="false"/>
        <w:spacing w:lineRule="auto" w:line="276" w:before="57" w:after="57"/>
        <w:jc w:val="both"/>
        <w:rPr/>
      </w:pPr>
      <w:r>
        <w:rPr>
          <w:rFonts w:cs="Arial" w:ascii="Verdana" w:hAnsi="Verdana"/>
          <w:bCs/>
          <w:color w:val="000000"/>
          <w:sz w:val="20"/>
          <w:szCs w:val="20"/>
        </w:rPr>
        <w:t xml:space="preserve">3.3.11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before="57" w:after="57"/>
        <w:ind w:hanging="0" w:left="0"/>
        <w:rPr>
          <w:rFonts w:ascii="Verdana" w:hAnsi="Verdana"/>
        </w:rPr>
      </w:pPr>
      <w:r>
        <w:rPr>
          <w:rFonts w:eastAsia="Segoe UI" w:cs="Arial" w:ascii="Verdana" w:hAnsi="Verdana"/>
          <w:bCs/>
          <w:color w:val="000000"/>
        </w:rPr>
        <w:t>3.4 O impedimento de que trata o item 3.3.5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57" w:after="57"/>
        <w:ind w:hanging="0" w:left="0"/>
        <w:rPr>
          <w:rFonts w:ascii="Verdana" w:hAnsi="Verdana"/>
        </w:rPr>
      </w:pPr>
      <w:bookmarkStart w:id="7" w:name="art14§2"/>
      <w:bookmarkEnd w:id="7"/>
      <w:r>
        <w:rPr>
          <w:rFonts w:eastAsia="Segoe UI" w:cs="Arial" w:ascii="Verdana" w:hAnsi="Verdana"/>
          <w:bCs/>
          <w:color w:val="000000"/>
        </w:rPr>
        <w:t>3.5 A critério da Administração e exclusivamente a seu serviço, o autor dos projetos e a empresa a que se referem os itens 3.3.3 e 3.3.4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before="57" w:after="57"/>
        <w:ind w:hanging="0" w:left="0"/>
        <w:rPr>
          <w:rFonts w:ascii="Verdana" w:hAnsi="Verdana"/>
        </w:rPr>
      </w:pPr>
      <w:bookmarkStart w:id="8" w:name="art14§3"/>
      <w:bookmarkEnd w:id="8"/>
      <w:r>
        <w:rPr>
          <w:rFonts w:eastAsia="Segoe UI" w:cs="Arial" w:ascii="Verdana" w:hAnsi="Verdana"/>
          <w:bCs/>
          <w:color w:val="000000"/>
        </w:rPr>
        <w:t>3.6 Equiparam-se aos autores do projeto as empresas integrantes do mesmo grupo econômico.</w:t>
      </w:r>
    </w:p>
    <w:p>
      <w:pPr>
        <w:pStyle w:val="Nivel2"/>
        <w:numPr>
          <w:ilvl w:val="0"/>
          <w:numId w:val="0"/>
        </w:numPr>
        <w:spacing w:before="57" w:after="57"/>
        <w:ind w:hanging="0" w:left="0"/>
        <w:rPr>
          <w:rFonts w:ascii="Verdana" w:hAnsi="Verdana"/>
        </w:rPr>
      </w:pPr>
      <w:bookmarkStart w:id="9" w:name="art14§4"/>
      <w:bookmarkEnd w:id="9"/>
      <w:r>
        <w:rPr>
          <w:rFonts w:eastAsia="Segoe UI" w:cs="Arial" w:ascii="Verdana" w:hAnsi="Verdana"/>
          <w:bCs/>
          <w:color w:val="000000"/>
        </w:rPr>
        <w:t>3.7 O disposto nos itens 3.3.3 e 3.3.4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before="57" w:after="57"/>
        <w:ind w:hanging="0" w:left="0"/>
        <w:rPr/>
      </w:pPr>
      <w:bookmarkStart w:id="10" w:name="art14§5"/>
      <w:bookmarkEnd w:id="10"/>
      <w:r>
        <w:rPr>
          <w:rFonts w:eastAsia="Segoe UI" w:cs="Arial" w:ascii="Verdana" w:hAnsi="Verdana"/>
          <w:bCs/>
          <w:color w:val="000000"/>
        </w:rPr>
        <w:t xml:space="preserve">3.8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before="57" w:after="57"/>
        <w:ind w:hanging="0" w:left="0"/>
        <w:rPr>
          <w:rFonts w:ascii="Verdana" w:hAnsi="Verdana"/>
        </w:rPr>
      </w:pPr>
      <w:r>
        <w:rPr>
          <w:rFonts w:eastAsia="Segoe UI" w:cs="Arial" w:ascii="Verdana" w:hAnsi="Verdana"/>
          <w:bCs/>
          <w:color w:val="000000"/>
        </w:rPr>
        <w:t>3.9 A vedação de que trata o item 3.3.9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before="57" w:after="57"/>
        <w:ind w:hanging="0" w:left="0"/>
        <w:rPr>
          <w:rFonts w:ascii="Verdana" w:hAnsi="Verdana" w:cs="Tahoma"/>
        </w:rPr>
      </w:pPr>
      <w:r>
        <w:rPr>
          <w:rFonts w:cs="Tahoma" w:ascii="Verdana" w:hAnsi="Verdana"/>
        </w:rPr>
      </w:r>
    </w:p>
    <w:p>
      <w:pPr>
        <w:pStyle w:val="Nivel01"/>
        <w:numPr>
          <w:ilvl w:val="0"/>
          <w:numId w:val="2"/>
        </w:numPr>
        <w:spacing w:lineRule="auto" w:line="276" w:before="57" w:after="57"/>
        <w:ind w:hanging="0" w:left="0"/>
        <w:rPr>
          <w:rFonts w:ascii="Verdana" w:hAnsi="Verdana"/>
        </w:rPr>
      </w:pPr>
      <w:r>
        <w:rPr>
          <w:rFonts w:cs="Arial" w:ascii="Verdana" w:hAnsi="Verdana"/>
        </w:rPr>
        <w:t>DA APRESENTAÇÃO DA PROPOSTA E DOS DOCUMENTOS DE HABILITAÇÃO</w:t>
      </w:r>
    </w:p>
    <w:p>
      <w:pPr>
        <w:pStyle w:val="Normal"/>
        <w:numPr>
          <w:ilvl w:val="1"/>
          <w:numId w:val="15"/>
        </w:numPr>
        <w:tabs>
          <w:tab w:val="clear" w:pos="720"/>
          <w:tab w:val="left" w:pos="450" w:leader="none"/>
          <w:tab w:val="left" w:pos="1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6"/>
        </w:numPr>
        <w:tabs>
          <w:tab w:val="clear" w:pos="720"/>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7"/>
        </w:numPr>
        <w:tabs>
          <w:tab w:val="clear" w:pos="720"/>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8"/>
        </w:numPr>
        <w:tabs>
          <w:tab w:val="clear" w:pos="720"/>
          <w:tab w:val="left" w:pos="450" w:leader="none"/>
        </w:tabs>
        <w:spacing w:lineRule="auto" w:line="276"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9"/>
        </w:numPr>
        <w:tabs>
          <w:tab w:val="clear" w:pos="720"/>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0"/>
        </w:numPr>
        <w:tabs>
          <w:tab w:val="clear" w:pos="720"/>
          <w:tab w:val="left" w:pos="450" w:leader="none"/>
        </w:tabs>
        <w:spacing w:lineRule="auto" w:line="276"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1"/>
        </w:numPr>
        <w:tabs>
          <w:tab w:val="clear" w:pos="720"/>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2"/>
        </w:numPr>
        <w:tabs>
          <w:tab w:val="clear" w:pos="720"/>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ivel01"/>
        <w:numPr>
          <w:ilvl w:val="0"/>
          <w:numId w:val="2"/>
        </w:numPr>
        <w:spacing w:lineRule="auto" w:line="276" w:before="57" w:after="57"/>
        <w:ind w:hanging="0" w:left="0"/>
        <w:rPr>
          <w:rFonts w:ascii="Verdana" w:hAnsi="Verdana"/>
        </w:rPr>
      </w:pPr>
      <w:r>
        <w:rPr>
          <w:rFonts w:cs="Arial" w:ascii="Verdana" w:hAnsi="Verdana"/>
        </w:rPr>
        <w:t>DO PREENCHIMENTO DA PROPOSTA</w:t>
      </w:r>
    </w:p>
    <w:p>
      <w:pPr>
        <w:pStyle w:val="Normal"/>
        <w:numPr>
          <w:ilvl w:val="1"/>
          <w:numId w:val="2"/>
        </w:numPr>
        <w:tabs>
          <w:tab w:val="clear" w:pos="720"/>
          <w:tab w:val="left" w:pos="450" w:leader="none"/>
        </w:tabs>
        <w:spacing w:lineRule="auto" w:line="276" w:before="57" w:after="57"/>
        <w:ind w:hanging="0" w:left="0"/>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20"/>
          <w:tab w:val="left" w:pos="617" w:leader="none"/>
          <w:tab w:val="left" w:pos="733" w:leader="none"/>
        </w:tabs>
        <w:snapToGrid w:val="false"/>
        <w:spacing w:lineRule="auto" w:line="276" w:before="57" w:after="57"/>
        <w:ind w:hanging="0" w:left="0"/>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20"/>
          <w:tab w:val="left" w:pos="617" w:leader="none"/>
          <w:tab w:val="left" w:pos="1440" w:leader="none"/>
        </w:tabs>
        <w:snapToGrid w:val="false"/>
        <w:spacing w:lineRule="auto" w:line="276" w:before="57" w:after="57"/>
        <w:jc w:val="both"/>
        <w:rPr>
          <w:rFonts w:ascii="Verdana" w:hAnsi="Verdana"/>
          <w:sz w:val="20"/>
          <w:szCs w:val="20"/>
        </w:rPr>
      </w:pPr>
      <w:r>
        <w:rPr>
          <w:rFonts w:cs="Arial" w:ascii="Verdana" w:hAnsi="Verdana"/>
          <w:iCs/>
          <w:color w:themeColor="text1" w:val="000000"/>
          <w:sz w:val="20"/>
          <w:szCs w:val="20"/>
        </w:rPr>
        <w:t>5.1.1.1.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20"/>
          <w:tab w:val="left" w:pos="617" w:leader="none"/>
          <w:tab w:val="left" w:pos="683" w:leader="none"/>
        </w:tabs>
        <w:snapToGrid w:val="false"/>
        <w:spacing w:lineRule="auto" w:line="276" w:before="57" w:after="57"/>
        <w:ind w:hanging="0" w:left="0"/>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20"/>
          <w:tab w:val="left" w:pos="617" w:leader="none"/>
          <w:tab w:val="left" w:pos="683" w:leader="none"/>
        </w:tabs>
        <w:snapToGrid w:val="false"/>
        <w:spacing w:lineRule="auto" w:line="276" w:before="57" w:after="57"/>
        <w:ind w:hanging="0" w:left="0"/>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20"/>
          <w:tab w:val="left" w:pos="617" w:leader="none"/>
          <w:tab w:val="left" w:pos="683" w:leader="none"/>
        </w:tabs>
        <w:snapToGrid w:val="false"/>
        <w:spacing w:lineRule="auto" w:line="276" w:before="57" w:after="57"/>
        <w:ind w:hanging="0" w:left="0"/>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20"/>
          <w:tab w:val="left" w:pos="450"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20"/>
          <w:tab w:val="left" w:pos="450" w:leader="none"/>
        </w:tabs>
        <w:spacing w:lineRule="auto" w:line="276" w:before="57" w:after="57"/>
        <w:ind w:hanging="0" w:left="0"/>
        <w:contextualSpacing w:val="false"/>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20"/>
          <w:tab w:val="left" w:pos="450"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20"/>
          <w:tab w:val="left" w:pos="426" w:leader="none"/>
        </w:tabs>
        <w:suppressAutoHyphens w:val="false"/>
        <w:spacing w:before="57" w:after="57"/>
        <w:ind w:hanging="0" w:left="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20"/>
          <w:tab w:val="left" w:pos="450"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20"/>
          <w:tab w:val="left" w:pos="450"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before="57" w:after="57"/>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6.3 O sistema ordenará automaticamente as propostas classificadas, sendo que somente estas participarão da fase de lances.</w:t>
      </w:r>
    </w:p>
    <w:p>
      <w:pPr>
        <w:pStyle w:val="Normal"/>
        <w:tabs>
          <w:tab w:val="clear" w:pos="720"/>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6.4 O sistema disponibilizará campo próprio para troca de mensagens entre o Pregoeiro e os licitantes.</w:t>
      </w:r>
    </w:p>
    <w:p>
      <w:pPr>
        <w:pStyle w:val="Normal"/>
        <w:tabs>
          <w:tab w:val="clear" w:pos="720"/>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 xml:space="preserve">6.5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 xml:space="preserve">6.5.1 O lance deverá ser ofertado pelo </w:t>
      </w:r>
      <w:r>
        <w:rPr>
          <w:rFonts w:cs="Arial" w:ascii="Verdana" w:hAnsi="Verdana"/>
          <w:b/>
          <w:bCs/>
          <w:color w:val="000000"/>
          <w:sz w:val="20"/>
          <w:szCs w:val="20"/>
        </w:rPr>
        <w:t>valor unitário do item.</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6.6 Os licitantes poderão oferecer lances sucessivos, observando o horário fixado para abertura da sessão e as regras estabelecidas no Edital.</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rPr>
        <w:t>6.7 O licitante somente poderá oferecer lance de valor inferior ao último por ele ofertado e registrado pelo sistema.</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 xml:space="preserve">6.8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6.9 A etapa de lances da sess</w:t>
      </w:r>
      <w:r>
        <w:rPr>
          <w:rFonts w:ascii="Verdana" w:hAnsi="Verdana"/>
          <w:sz w:val="20"/>
          <w:szCs w:val="20"/>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6.10. Encerrado o prazo previsto no item anterior, o sistema abrir</w:t>
      </w:r>
      <w:r>
        <w:rPr>
          <w:rFonts w:ascii="Verdana" w:hAnsi="Verdana"/>
          <w:sz w:val="20"/>
          <w:szCs w:val="20"/>
        </w:rPr>
        <w:t>á oportunidade para que o autor da oferta de valor mais baixo e os das ofertas com preços até dez por cento superior àquela possam ofertar um lance final e fechado em até cinco minutos, o qual será sigiloso até o encerramento deste prazo.</w:t>
      </w:r>
    </w:p>
    <w:p>
      <w:pPr>
        <w:pStyle w:val="Normal"/>
        <w:spacing w:lineRule="auto" w:line="276" w:before="57" w:after="57"/>
        <w:jc w:val="both"/>
        <w:rPr>
          <w:rFonts w:ascii="Verdana" w:hAnsi="Verdana"/>
          <w:sz w:val="20"/>
          <w:szCs w:val="20"/>
        </w:rPr>
      </w:pPr>
      <w:r>
        <w:rPr>
          <w:rFonts w:ascii="Verdana" w:hAnsi="Verdana"/>
          <w:sz w:val="20"/>
          <w:szCs w:val="20"/>
        </w:rPr>
        <w:t>6.10.1.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spacing w:lineRule="auto" w:line="276" w:before="57" w:after="57"/>
        <w:jc w:val="both"/>
        <w:rPr>
          <w:rFonts w:ascii="Verdana" w:hAnsi="Verdana"/>
          <w:sz w:val="20"/>
          <w:szCs w:val="20"/>
        </w:rPr>
      </w:pPr>
      <w:r>
        <w:rPr>
          <w:rFonts w:ascii="Verdana" w:hAnsi="Verdana"/>
          <w:sz w:val="20"/>
          <w:szCs w:val="20"/>
        </w:rPr>
        <w:t>6.11. Após o término dos prazos estabelecidos nos itens anteriores, o sistema ordenará os lances segundo a ordem crescente de valores.</w:t>
      </w:r>
    </w:p>
    <w:p>
      <w:pPr>
        <w:pStyle w:val="Normal"/>
        <w:spacing w:lineRule="auto" w:line="276" w:before="57" w:after="57"/>
        <w:jc w:val="both"/>
        <w:rPr>
          <w:rFonts w:ascii="Verdana" w:hAnsi="Verdana"/>
          <w:sz w:val="20"/>
          <w:szCs w:val="20"/>
        </w:rPr>
      </w:pPr>
      <w:r>
        <w:rPr>
          <w:rFonts w:ascii="Verdana" w:hAnsi="Verdana"/>
          <w:sz w:val="20"/>
          <w:szCs w:val="20"/>
        </w:rPr>
        <w:t>6.11.1. Não havendo lance final e fechado classificado na forma estabelecida no lote, haverá o reinício da etapa fechada, para que os demais licitantes, até o máximo de três, na ordem de classificação, possam ofertar um lance final e fechado em até cinco minutos, o qual será sigiloso até o encerramento deste prazo.</w:t>
      </w:r>
    </w:p>
    <w:p>
      <w:pPr>
        <w:pStyle w:val="Normal"/>
        <w:spacing w:lineRule="auto" w:line="276" w:before="57" w:after="57"/>
        <w:jc w:val="both"/>
        <w:rPr>
          <w:rFonts w:ascii="Verdana" w:hAnsi="Verdana"/>
          <w:sz w:val="20"/>
          <w:szCs w:val="20"/>
        </w:rPr>
      </w:pPr>
      <w:r>
        <w:rPr>
          <w:rFonts w:ascii="Verdana" w:hAnsi="Verdana"/>
          <w:sz w:val="20"/>
          <w:szCs w:val="20"/>
        </w:rPr>
        <w:t>6.12. Poderá o(a) Pregoeiro(a), auxiliado pela Equipe de Apoio, justificadamente, admitir o reinício da etapa fechada, caso nenhum licitante classificado na etapa de lance fechado atender às exigências de habilitação.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6.13 Não serão aceitos dois ou mais lances de mesmo valor, prevalecendo aquele que for recebido e registrado em primeiro lugar.</w:t>
      </w:r>
    </w:p>
    <w:p>
      <w:pPr>
        <w:pStyle w:val="Normal"/>
        <w:spacing w:lineRule="auto" w:line="276" w:before="57" w:after="57"/>
        <w:jc w:val="both"/>
        <w:rPr>
          <w:rFonts w:ascii="Verdana" w:hAnsi="Verdana"/>
          <w:sz w:val="20"/>
          <w:szCs w:val="20"/>
        </w:rPr>
      </w:pPr>
      <w:r>
        <w:rPr>
          <w:rFonts w:cs="Arial" w:ascii="Verdana" w:hAnsi="Verdana"/>
          <w:color w:val="000000"/>
          <w:sz w:val="20"/>
          <w:szCs w:val="20"/>
        </w:rPr>
        <w:t xml:space="preserve">6.14 Durante o transcurso da sessão pública, os licitantes serão informados, em tempo real, do valor do menor lance registrado, vedada a identificação do licitante. </w:t>
      </w:r>
    </w:p>
    <w:p>
      <w:pPr>
        <w:pStyle w:val="Normal"/>
        <w:spacing w:lineRule="auto" w:line="276" w:before="57" w:after="57"/>
        <w:jc w:val="both"/>
        <w:rPr>
          <w:rFonts w:ascii="Verdana" w:hAnsi="Verdana"/>
          <w:sz w:val="20"/>
          <w:szCs w:val="20"/>
        </w:rPr>
      </w:pPr>
      <w:r>
        <w:rPr>
          <w:rFonts w:cs="Arial" w:ascii="Verdana" w:hAnsi="Verdana"/>
          <w:color w:val="000000"/>
          <w:sz w:val="20"/>
          <w:szCs w:val="20"/>
        </w:rPr>
        <w:t xml:space="preserve">6.15 No caso de desconexão com o Pregoeiro, no decorrer da etapa competitiva do Pregão, o sistema eletrônico poderá permanecer acessível aos licitantes para a recepção dos lances. </w:t>
      </w:r>
    </w:p>
    <w:p>
      <w:pPr>
        <w:pStyle w:val="Normal"/>
        <w:spacing w:lineRule="auto" w:line="276" w:before="57" w:after="57"/>
        <w:jc w:val="both"/>
        <w:rPr>
          <w:rFonts w:ascii="Verdana" w:hAnsi="Verdana"/>
          <w:sz w:val="20"/>
          <w:szCs w:val="20"/>
        </w:rPr>
      </w:pPr>
      <w:r>
        <w:rPr>
          <w:rFonts w:cs="Arial" w:ascii="Verdana" w:hAnsi="Verdana"/>
          <w:color w:val="000000"/>
          <w:sz w:val="20"/>
          <w:szCs w:val="20"/>
        </w:rPr>
        <w:t xml:space="preserve">6.16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pPr>
        <w:pStyle w:val="Normal"/>
        <w:spacing w:lineRule="auto" w:line="276" w:before="57" w:after="57"/>
        <w:jc w:val="both"/>
        <w:rPr>
          <w:rFonts w:ascii="Verdana" w:hAnsi="Verdana"/>
          <w:sz w:val="20"/>
          <w:szCs w:val="20"/>
        </w:rPr>
      </w:pPr>
      <w:r>
        <w:rPr>
          <w:rFonts w:cs="Arial" w:ascii="Verdana" w:hAnsi="Verdana"/>
          <w:color w:val="000000"/>
          <w:sz w:val="20"/>
          <w:szCs w:val="20"/>
        </w:rPr>
        <w:t>6.17 O Critério de julgamento adotado será o menor preço, conforme definido neste Edital e seus anexos.</w:t>
      </w:r>
    </w:p>
    <w:p>
      <w:pPr>
        <w:pStyle w:val="Normal"/>
        <w:spacing w:lineRule="auto" w:line="276" w:before="57" w:after="57"/>
        <w:jc w:val="both"/>
        <w:rPr>
          <w:rFonts w:ascii="Verdana" w:hAnsi="Verdana"/>
          <w:sz w:val="20"/>
          <w:szCs w:val="20"/>
        </w:rPr>
      </w:pPr>
      <w:r>
        <w:rPr>
          <w:rFonts w:cs="Arial" w:ascii="Verdana" w:hAnsi="Verdana"/>
          <w:color w:val="000000"/>
          <w:sz w:val="20"/>
          <w:szCs w:val="20"/>
        </w:rPr>
        <w:t>6.18 Caso o licitante não apresente lances, concorrerá com o valor de sua proposta.</w:t>
      </w:r>
    </w:p>
    <w:p>
      <w:pPr>
        <w:pStyle w:val="Normal"/>
        <w:spacing w:lineRule="auto" w:line="276" w:before="57" w:after="57"/>
        <w:jc w:val="both"/>
        <w:rPr>
          <w:rFonts w:ascii="Verdana" w:hAnsi="Verdana"/>
          <w:sz w:val="20"/>
          <w:szCs w:val="20"/>
        </w:rPr>
      </w:pPr>
      <w:r>
        <w:rPr>
          <w:rFonts w:cs="Arial" w:ascii="Verdana" w:hAnsi="Verdana"/>
          <w:color w:val="000000"/>
          <w:sz w:val="20"/>
          <w:szCs w:val="20"/>
        </w:rPr>
        <w:t>6.19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57" w:after="57"/>
        <w:jc w:val="both"/>
        <w:rPr>
          <w:rFonts w:ascii="Verdana" w:hAnsi="Verdana"/>
          <w:sz w:val="20"/>
          <w:szCs w:val="20"/>
        </w:rPr>
      </w:pPr>
      <w:r>
        <w:rPr>
          <w:rFonts w:cs="Arial" w:ascii="Verdana" w:hAnsi="Verdana"/>
          <w:color w:val="000000"/>
          <w:sz w:val="20"/>
          <w:szCs w:val="20"/>
        </w:rPr>
        <w:t>6.20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57" w:after="57"/>
        <w:jc w:val="both"/>
        <w:rPr>
          <w:rFonts w:ascii="Verdana" w:hAnsi="Verdana"/>
          <w:sz w:val="20"/>
          <w:szCs w:val="20"/>
        </w:rPr>
      </w:pPr>
      <w:r>
        <w:rPr>
          <w:rFonts w:cs="Arial" w:ascii="Verdana" w:hAnsi="Verdana"/>
          <w:color w:val="000000"/>
          <w:sz w:val="20"/>
          <w:szCs w:val="20"/>
        </w:rPr>
        <w:t>6.21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57" w:after="57"/>
        <w:jc w:val="both"/>
        <w:rPr>
          <w:rFonts w:ascii="Verdana" w:hAnsi="Verdana"/>
          <w:sz w:val="20"/>
          <w:szCs w:val="20"/>
        </w:rPr>
      </w:pPr>
      <w:r>
        <w:rPr>
          <w:rFonts w:cs="Arial" w:ascii="Verdana" w:hAnsi="Verdana"/>
          <w:color w:val="000000"/>
          <w:sz w:val="20"/>
          <w:szCs w:val="20"/>
        </w:rPr>
        <w:t>6.22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57" w:after="57"/>
        <w:jc w:val="both"/>
        <w:rPr>
          <w:rFonts w:ascii="Verdana" w:hAnsi="Verdana"/>
          <w:sz w:val="20"/>
          <w:szCs w:val="20"/>
        </w:rPr>
      </w:pPr>
      <w:r>
        <w:rPr>
          <w:rFonts w:cs="Arial" w:ascii="Verdana" w:hAnsi="Verdana"/>
          <w:color w:val="000000"/>
          <w:sz w:val="20"/>
          <w:szCs w:val="20"/>
        </w:rPr>
        <w:t>6.23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57" w:after="57"/>
        <w:jc w:val="both"/>
        <w:rPr>
          <w:rFonts w:ascii="Verdana" w:hAnsi="Verdana"/>
          <w:sz w:val="20"/>
          <w:szCs w:val="20"/>
        </w:rPr>
      </w:pPr>
      <w:r>
        <w:rPr>
          <w:rFonts w:cs="Arial" w:ascii="Verdana" w:hAnsi="Verdana"/>
          <w:color w:val="000000"/>
          <w:sz w:val="20"/>
          <w:szCs w:val="20"/>
        </w:rPr>
        <w:t xml:space="preserve">6.24 Só poderá haver empate entre propostas iguais (não seguidas de lances), ou entre lances finais da fase fechada do modo de disputa aberto e fechado. </w:t>
      </w:r>
    </w:p>
    <w:p>
      <w:pPr>
        <w:pStyle w:val="Normal"/>
        <w:spacing w:lineRule="auto" w:line="276" w:before="57" w:after="57"/>
        <w:jc w:val="both"/>
        <w:rPr>
          <w:rFonts w:ascii="Verdana" w:hAnsi="Verdana"/>
          <w:sz w:val="20"/>
          <w:szCs w:val="20"/>
        </w:rPr>
      </w:pPr>
      <w:r>
        <w:rPr>
          <w:rFonts w:cs="Arial" w:ascii="Verdana" w:hAnsi="Verdana"/>
          <w:color w:val="000000"/>
          <w:sz w:val="20"/>
          <w:szCs w:val="20"/>
        </w:rPr>
        <w:t>6.25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57"/>
        <w:jc w:val="both"/>
        <w:rPr>
          <w:rFonts w:ascii="Verdana" w:hAnsi="Verdana"/>
          <w:sz w:val="20"/>
          <w:szCs w:val="20"/>
        </w:rPr>
      </w:pPr>
      <w:r>
        <w:rPr>
          <w:rFonts w:cs="Arial" w:ascii="Verdana" w:hAnsi="Verdana"/>
          <w:color w:val="000000"/>
          <w:sz w:val="20"/>
          <w:szCs w:val="20"/>
        </w:rPr>
        <w:t>6.25.1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6.25.2 No país;</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6.25.3 Por empresas brasileiras;</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6.25.4 Por empresas que invistam em pesquisa e no desenvolvimento de tecnologia no País;</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6.25.5 Por empresas que comprovem cumprimento de reserva de cargos prevista em lei para pessoa com deficiência ou para reabilitado da Previdência Social e que atendam às regras de acessibilidade previstas na legislação.</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 xml:space="preserve">6.26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57" w:after="57"/>
        <w:jc w:val="both"/>
        <w:rPr>
          <w:rFonts w:ascii="Verdana" w:hAnsi="Verdana"/>
          <w:sz w:val="20"/>
          <w:szCs w:val="20"/>
        </w:rPr>
      </w:pPr>
      <w:r>
        <w:rPr>
          <w:rFonts w:cs="Arial" w:ascii="Verdana" w:hAnsi="Verdana"/>
          <w:color w:val="000000"/>
          <w:sz w:val="20"/>
          <w:szCs w:val="20"/>
        </w:rPr>
        <w:t>6.27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6.27.1 A negociação será realizada por meio do sistema, podendo ser acompanhada pelos demais licitantes.</w:t>
      </w:r>
    </w:p>
    <w:p>
      <w:pPr>
        <w:pStyle w:val="ListParagraph"/>
        <w:tabs>
          <w:tab w:val="clear" w:pos="720"/>
          <w:tab w:val="left" w:pos="-12"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6.27.2 O pregoeiro solicitará ao licitante melhor classificado que, no prazo de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20"/>
          <w:tab w:val="left" w:pos="-12"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6.28 Após a negociação do preço, o Pregoeiro iniciará a fase de aceitação e julgamento da proposta.</w:t>
      </w:r>
    </w:p>
    <w:p>
      <w:pPr>
        <w:pStyle w:val="ListParagraph"/>
        <w:tabs>
          <w:tab w:val="clear" w:pos="720"/>
          <w:tab w:val="left" w:pos="-12" w:leader="none"/>
        </w:tabs>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numPr>
          <w:ilvl w:val="0"/>
          <w:numId w:val="2"/>
        </w:numPr>
        <w:tabs>
          <w:tab w:val="clear" w:pos="567"/>
          <w:tab w:val="left" w:pos="517" w:leader="none"/>
        </w:tabs>
        <w:spacing w:lineRule="auto" w:line="276" w:before="57" w:after="57"/>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20"/>
          <w:tab w:val="left" w:pos="517" w:leader="none"/>
        </w:tabs>
        <w:spacing w:lineRule="auto" w:line="276" w:before="57" w:after="57"/>
        <w:ind w:hanging="0" w:left="0"/>
        <w:contextualSpacing w:val="false"/>
        <w:jc w:val="both"/>
        <w:rPr/>
      </w:pPr>
      <w:bookmarkStart w:id="11"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01"/>
          <w:sz w:val="20"/>
          <w:u w:val="single"/>
          <w:szCs w:val="20"/>
          <w:rFonts w:cs="Arial" w:ascii="Verdana" w:hAnsi="Verdana"/>
          <w:color w:val="000080"/>
        </w:rPr>
        <w:instrText xml:space="preserve"> HYPERLINK "http://www.planalto.gov.br/ccivil_03/_ato2019-2022/2021/lei/L14133.htm" \l "art14"</w:instrText>
      </w:r>
      <w:r>
        <w:rPr>
          <w:rStyle w:val="ListLabel201"/>
          <w:sz w:val="20"/>
          <w:u w:val="single"/>
          <w:szCs w:val="20"/>
          <w:rFonts w:cs="Arial" w:ascii="Verdana" w:hAnsi="Verdana"/>
          <w:color w:val="000080"/>
        </w:rPr>
        <w:fldChar w:fldCharType="separate"/>
      </w:r>
      <w:r>
        <w:rPr>
          <w:rStyle w:val="ListLabel201"/>
          <w:rFonts w:cs="Arial" w:ascii="Verdana" w:hAnsi="Verdana"/>
          <w:color w:val="000080"/>
          <w:sz w:val="20"/>
          <w:szCs w:val="20"/>
          <w:u w:val="single"/>
        </w:rPr>
        <w:t>art. 14 da Lei nº 14.133/2021</w:t>
      </w:r>
      <w:r>
        <w:rPr>
          <w:rStyle w:val="ListLabel201"/>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4.3.12 do edital, </w:t>
      </w:r>
      <w:bookmarkEnd w:id="11"/>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A análise da exequibilidade da proposta de preços deverá ser realizada com o auxílio da Planilha de Custos e Formação de Preços, a ser preenchida pelo licitante em relação à sua proposta final, conforme anexo deste Edital.</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A Planilha de Custos e Formação de Preços deverá ser encaminhada pelo licitante exclusivamente via sistema, no prazo de 01 (um) dia útil, contado da solicitação do pregoeiro, com os respectivos valores readequados ao lance vencedor, e será analisada pelo Pregoeiro no momento da aceitação do lance vencedor. </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0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01"/>
          <w:sz w:val="20"/>
          <w:u w:val="single"/>
          <w:szCs w:val="20"/>
          <w:rFonts w:cs="Arial" w:ascii="Verdana" w:hAnsi="Verdana"/>
          <w:color w:val="000080"/>
        </w:rPr>
        <w:fldChar w:fldCharType="separate"/>
      </w:r>
      <w:r>
        <w:rPr>
          <w:rStyle w:val="ListLabel201"/>
          <w:rFonts w:cs="Arial" w:ascii="Verdana" w:hAnsi="Verdana"/>
          <w:color w:val="000080"/>
          <w:sz w:val="20"/>
          <w:szCs w:val="20"/>
          <w:u w:val="single"/>
        </w:rPr>
        <w:t>artigo 29 a 35 da IN SEGES nº 73, de 30 de setembro de 2022</w:t>
      </w:r>
      <w:r>
        <w:rPr>
          <w:rStyle w:val="ListLabel20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lineRule="auto" w:line="276"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7.6.1 não estiver em conformidade com os requisitos estabelecidos neste edital;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7.6.2 contenha vício insanável ou ilegalidade;</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7.6.3 não apresente as especificações técnicas exigidas pelo Termo de Referência;</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7.6.4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7.6.4.1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7.6.4.1.1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7.6.4.1.2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7.6.4.2 A fim de assegurar o tratamento isonômico entre as licitantes, informa-se que foram utilizadas as seguintes convenções coletivas de trabalho no cálculo do valor estimado pela Administração.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7.7 É vedado à proponente incluir na Planilha de Custos e Formação de Preços:</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7.7.1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7.7.2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7.7.3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7.7.4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7.7.5 rubricas para pagamento do Imposto de Renda Pessoa Jurídica – IRPJ e da Contribuição Social Sobre o Lucro Líquido – CSLL;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7.7.6 rubrica denominada “verba” ou “verba provisional”, pois o item não está vinculado a qualquer contraprestação mensurável.</w:t>
      </w:r>
    </w:p>
    <w:p>
      <w:pPr>
        <w:pStyle w:val="Normal"/>
        <w:numPr>
          <w:ilvl w:val="1"/>
          <w:numId w:val="4"/>
        </w:numPr>
        <w:tabs>
          <w:tab w:val="clear" w:pos="720"/>
          <w:tab w:val="left" w:pos="517" w:leader="none"/>
        </w:tabs>
        <w:spacing w:lineRule="auto" w:line="276" w:before="57" w:after="57"/>
        <w:ind w:hanging="0" w:left="0"/>
        <w:jc w:val="both"/>
        <w:rPr>
          <w:rFonts w:ascii="Verdana" w:hAnsi="Verdana"/>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7.8.1 Na hipótese de contratação com a previsão de itens de custos vedados, tais valores serão glosados e os itens serão excluídos da Planilha, garantidas ampla defesa e contraditório.</w:t>
      </w:r>
    </w:p>
    <w:p>
      <w:pPr>
        <w:pStyle w:val="Normal"/>
        <w:numPr>
          <w:ilvl w:val="1"/>
          <w:numId w:val="4"/>
        </w:numPr>
        <w:tabs>
          <w:tab w:val="clear" w:pos="720"/>
          <w:tab w:val="left" w:pos="517" w:leader="none"/>
        </w:tabs>
        <w:spacing w:lineRule="auto" w:line="276" w:before="57" w:after="57"/>
        <w:ind w:hanging="0" w:left="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pPr>
        <w:pStyle w:val="Normal"/>
        <w:numPr>
          <w:ilvl w:val="1"/>
          <w:numId w:val="4"/>
        </w:numPr>
        <w:tabs>
          <w:tab w:val="clear" w:pos="720"/>
          <w:tab w:val="left" w:pos="517" w:leader="none"/>
        </w:tabs>
        <w:spacing w:lineRule="auto" w:line="276"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4"/>
        </w:numPr>
        <w:tabs>
          <w:tab w:val="clear" w:pos="720"/>
          <w:tab w:val="left" w:pos="517" w:leader="none"/>
        </w:tabs>
        <w:spacing w:lineRule="auto" w:line="276" w:before="57" w:after="57"/>
        <w:ind w:hanging="0" w:left="0"/>
        <w:jc w:val="both"/>
        <w:rPr>
          <w:rFonts w:ascii="Verdana" w:hAnsi="Verdana"/>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7.11.1 As propostas com preços próximos ou inferiores ao mínimo estabelecido pela Prefeitura Municipal de São Gabriel da Palha, disponibilizado em meio eletrônico, no Portal de Compras Públicas (http://</w:t>
      </w:r>
      <w:bookmarkStart w:id="12" w:name="_Hlk123138684_Copia_2"/>
      <w:r>
        <w:rPr>
          <w:rFonts w:cs="Arial" w:ascii="Verdana" w:hAnsi="Verdana"/>
          <w:color w:val="000000"/>
          <w:sz w:val="20"/>
          <w:szCs w:val="20"/>
        </w:rPr>
        <w:t>www.portaldecompraspublicas.com.br</w:t>
      </w:r>
      <w:bookmarkEnd w:id="12"/>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1"/>
          <w:numId w:val="4"/>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7.12.1.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4"/>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7.13.1 É facultado ao pregoeiro prorrogar o prazo estabelecido, a partir de solicitação fundamentada feita no chat pelo licitante, antes de findo o prazo.</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lang w:eastAsia="en-US"/>
        </w:rPr>
        <w:t>7.13.2 Dentre os documentos passíveis de solicitação pelo Pregoeiro, destacam-se as planilhas de custo readequadas com o valor final ofertado.</w:t>
      </w:r>
    </w:p>
    <w:p>
      <w:pPr>
        <w:pStyle w:val="ListParagraph"/>
        <w:numPr>
          <w:ilvl w:val="1"/>
          <w:numId w:val="4"/>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bCs/>
          <w:iCs/>
          <w:color w:val="000000"/>
          <w:sz w:val="20"/>
          <w:szCs w:val="20"/>
        </w:rPr>
        <w:t xml:space="preserve"> </w:t>
      </w:r>
      <w:r>
        <w:rPr>
          <w:rFonts w:cs="Arial" w:ascii="Verdana" w:hAnsi="Verdana"/>
          <w:bCs/>
          <w:iCs/>
          <w:color w:val="000000"/>
          <w:sz w:val="20"/>
          <w:szCs w:val="20"/>
        </w:rPr>
        <w:t xml:space="preserve">Todos os dados informados pelo licitante em sua planilha deverão refletir com fidelidade os custos especificados e a margem de lucro pretendida. </w:t>
      </w:r>
    </w:p>
    <w:p>
      <w:pPr>
        <w:pStyle w:val="ListParagraph"/>
        <w:numPr>
          <w:ilvl w:val="1"/>
          <w:numId w:val="4"/>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en-US"/>
        </w:rPr>
        <w:t xml:space="preserve"> </w:t>
      </w:r>
      <w:r>
        <w:rPr>
          <w:rFonts w:cs="Arial" w:ascii="Verdana" w:hAnsi="Verdana"/>
          <w:sz w:val="20"/>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4"/>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Erros no preenchimento da planilha não constituem motivo para a desclassificação da proposta. A planilha poderá́ ser ajustada pelo licitante, no prazo indicado pelo Pregoeiro, desde que não haja majoração do preço. </w:t>
      </w:r>
    </w:p>
    <w:p>
      <w:pPr>
        <w:pStyle w:val="Normal"/>
        <w:numPr>
          <w:ilvl w:val="2"/>
          <w:numId w:val="4"/>
        </w:numPr>
        <w:tabs>
          <w:tab w:val="clear" w:pos="720"/>
          <w:tab w:val="left" w:pos="683" w:leader="none"/>
          <w:tab w:val="left" w:pos="90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O ajuste de que trata este dispositivo se limita a sanar erros ou falhas que não alterem a substância das propostas;</w:t>
      </w:r>
    </w:p>
    <w:p>
      <w:pPr>
        <w:pStyle w:val="Normal"/>
        <w:numPr>
          <w:ilvl w:val="2"/>
          <w:numId w:val="4"/>
        </w:numPr>
        <w:tabs>
          <w:tab w:val="clear" w:pos="720"/>
          <w:tab w:val="left" w:pos="683" w:leader="none"/>
          <w:tab w:val="left" w:pos="90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Considera-se erro no preenchimento da planilha passível de correção a indicação de recolhimento de impostos e contribuições na forma do Simples Nacional, quando não cabível esse regime.</w:t>
      </w:r>
    </w:p>
    <w:p>
      <w:pPr>
        <w:pStyle w:val="Normal"/>
        <w:numPr>
          <w:ilvl w:val="2"/>
          <w:numId w:val="4"/>
        </w:numPr>
        <w:tabs>
          <w:tab w:val="clear" w:pos="720"/>
          <w:tab w:val="left" w:pos="683" w:leader="none"/>
          <w:tab w:val="left" w:pos="90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O Pregoeiro deverá verificar se a proposta apresenta o valor total dos custos da contratação, inclusive aqueles estimados para as ocorrências de fatos geradores.</w:t>
      </w:r>
    </w:p>
    <w:p>
      <w:pPr>
        <w:pStyle w:val="ListParagraph"/>
        <w:numPr>
          <w:ilvl w:val="1"/>
          <w:numId w:val="4"/>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4"/>
        </w:numPr>
        <w:spacing w:lineRule="auto" w:line="276"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4"/>
        </w:numPr>
        <w:spacing w:lineRule="auto" w:line="276"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4"/>
        </w:numPr>
        <w:spacing w:lineRule="auto" w:line="276" w:before="57" w:after="57"/>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4"/>
        </w:numPr>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4"/>
        </w:numPr>
        <w:spacing w:lineRule="auto" w:line="276" w:before="57" w:after="57"/>
        <w:ind w:hanging="0" w:left="0"/>
        <w:rPr>
          <w:rFonts w:ascii="Verdana" w:hAnsi="Verdana"/>
        </w:rPr>
      </w:pPr>
      <w:r>
        <w:rPr>
          <w:rFonts w:cs="Arial" w:ascii="Verdana" w:hAnsi="Verdana"/>
          <w:lang w:eastAsia="en-US"/>
        </w:rPr>
        <w:t>DA HABILITAÇÃO</w:t>
      </w:r>
    </w:p>
    <w:p>
      <w:pPr>
        <w:pStyle w:val="Nivel01"/>
        <w:numPr>
          <w:ilvl w:val="1"/>
          <w:numId w:val="5"/>
        </w:numPr>
        <w:tabs>
          <w:tab w:val="clear" w:pos="567"/>
          <w:tab w:val="left" w:pos="284" w:leader="none"/>
          <w:tab w:val="left" w:pos="517" w:leader="none"/>
        </w:tabs>
        <w:spacing w:lineRule="auto" w:line="276" w:before="57" w:after="57"/>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76"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202"/>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202"/>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20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57"/>
        <w:jc w:val="both"/>
        <w:rPr/>
      </w:pPr>
      <w:r>
        <w:rPr>
          <w:rFonts w:cs="Arial" w:ascii="Verdana" w:hAnsi="Verdana"/>
          <w:sz w:val="20"/>
          <w:szCs w:val="20"/>
          <w:lang w:eastAsia="ar-SA"/>
        </w:rPr>
        <w:t>8.1.1 Para a consulta de licitantes pessoa jurídica poderá haver a substituição das consultas das alíneas “b”, “c” e “d” acima pela Consulta Consolidada de Pessoa Jurídica do TCU (</w:t>
      </w:r>
      <w:hyperlink r:id="rId7">
        <w:r>
          <w:rPr>
            <w:rStyle w:val="ListLabel202"/>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57"/>
        <w:jc w:val="both"/>
        <w:rPr>
          <w:rFonts w:ascii="Verdana" w:hAnsi="Verdana"/>
          <w:sz w:val="20"/>
          <w:szCs w:val="20"/>
        </w:rPr>
      </w:pPr>
      <w:r>
        <w:rPr>
          <w:rFonts w:cs="Arial" w:ascii="Verdana" w:hAnsi="Verdana"/>
          <w:color w:val="000000"/>
          <w:sz w:val="20"/>
          <w:szCs w:val="20"/>
        </w:rPr>
        <w:t>8.1.2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8.1.2.1.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8.1.2.2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8.1.2.3 O licitante será convocado para manifestação previamente à sua desclassificação.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8.1.3 Constatada a existência de sanção, o Pregoeiro reputará o licitante inabilitado, por falta de condição de participação.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8.1.4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5"/>
        </w:numPr>
        <w:tabs>
          <w:tab w:val="clear" w:pos="720"/>
          <w:tab w:val="left" w:pos="567"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5"/>
        </w:numPr>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5"/>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5"/>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5"/>
        </w:numPr>
        <w:tabs>
          <w:tab w:val="clear" w:pos="720"/>
          <w:tab w:val="left" w:pos="567" w:leader="none"/>
        </w:tabs>
        <w:spacing w:before="57" w:after="57"/>
        <w:ind w:hanging="0" w:left="0"/>
        <w:rPr>
          <w:rFonts w:ascii="Verdana" w:hAnsi="Verdana"/>
          <w:szCs w:val="20"/>
        </w:rPr>
      </w:pPr>
      <w:r>
        <w:rPr>
          <w:rFonts w:cs="Arial" w:ascii="Verdana" w:hAnsi="Verdana"/>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5"/>
        </w:numPr>
        <w:tabs>
          <w:tab w:val="clear" w:pos="720"/>
          <w:tab w:val="left" w:pos="567" w:leader="none"/>
        </w:tabs>
        <w:spacing w:before="57" w:after="57"/>
        <w:ind w:hanging="0" w:left="0"/>
        <w:rPr>
          <w:rFonts w:ascii="Verdana" w:hAnsi="Verdana"/>
          <w:szCs w:val="20"/>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5"/>
        </w:numPr>
        <w:tabs>
          <w:tab w:val="clear" w:pos="720"/>
          <w:tab w:val="left" w:pos="567" w:leader="none"/>
        </w:tabs>
        <w:spacing w:before="57" w:after="57"/>
        <w:ind w:hanging="0" w:left="0"/>
        <w:rPr>
          <w:rFonts w:ascii="Verdana" w:hAnsi="Verdana"/>
          <w:szCs w:val="20"/>
        </w:rPr>
      </w:pPr>
      <w:r>
        <w:rPr>
          <w:rFonts w:cs="Arial" w:ascii="Verdana" w:hAnsi="Verdana"/>
          <w:szCs w:val="20"/>
        </w:rPr>
        <w:t>Não serão aceitos documentos de habilitação com indicação de CNPJ/CPF diferentes, salvo aqueles legalmente permitidos.</w:t>
      </w:r>
    </w:p>
    <w:p>
      <w:pPr>
        <w:pStyle w:val="PADRO"/>
        <w:widowControl/>
        <w:numPr>
          <w:ilvl w:val="1"/>
          <w:numId w:val="5"/>
        </w:numPr>
        <w:tabs>
          <w:tab w:val="clear" w:pos="720"/>
          <w:tab w:val="left" w:pos="567" w:leader="none"/>
        </w:tabs>
        <w:spacing w:before="57" w:after="57"/>
        <w:ind w:hanging="0" w:left="0"/>
        <w:rPr>
          <w:rFonts w:ascii="Verdana" w:hAnsi="Verdana"/>
          <w:szCs w:val="20"/>
        </w:rPr>
      </w:pPr>
      <w:r>
        <w:rPr>
          <w:rFonts w:cs="Arial" w:ascii="Verdana" w:hAnsi="Verdana"/>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5"/>
        </w:numPr>
        <w:tabs>
          <w:tab w:val="clear" w:pos="720"/>
          <w:tab w:val="left" w:pos="567" w:leader="none"/>
        </w:tabs>
        <w:spacing w:before="57" w:after="57"/>
        <w:ind w:hanging="0" w:left="0"/>
        <w:rPr>
          <w:rFonts w:ascii="Verdana" w:hAnsi="Verdana"/>
          <w:szCs w:val="20"/>
        </w:rPr>
      </w:pPr>
      <w:r>
        <w:rPr>
          <w:rFonts w:cs="Arial" w:ascii="Verdana" w:hAnsi="Verdana"/>
          <w:szCs w:val="20"/>
        </w:rPr>
        <w:t>Ressalvado o disposto no item 5.3, os licitantes deverão encaminhar, nos termos deste Edital, a documentação relacionada nos itens a seguir, para fins de habilitação:</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5"/>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5"/>
        </w:numPr>
        <w:spacing w:lineRule="auto" w:line="276"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20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5"/>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5"/>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5"/>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5"/>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5"/>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5"/>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00"/>
          <w:sz w:val="20"/>
          <w:szCs w:val="20"/>
        </w:rPr>
        <w:t>:</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5"/>
        </w:numPr>
        <w:snapToGrid w:val="false"/>
        <w:spacing w:lineRule="auto" w:line="276"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5"/>
        </w:numPr>
        <w:snapToGrid w:val="false"/>
        <w:spacing w:lineRule="auto" w:line="276"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5"/>
        </w:numPr>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5"/>
        </w:numPr>
        <w:snapToGrid w:val="false"/>
        <w:spacing w:lineRule="auto" w:line="276"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5"/>
        </w:numPr>
        <w:snapToGrid w:val="false"/>
        <w:spacing w:lineRule="auto" w:line="276"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5"/>
        </w:numPr>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5"/>
        </w:numPr>
        <w:tabs>
          <w:tab w:val="clear" w:pos="720"/>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5"/>
        </w:numPr>
        <w:tabs>
          <w:tab w:val="clear" w:pos="720"/>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5"/>
        </w:numPr>
        <w:tabs>
          <w:tab w:val="clear" w:pos="720"/>
          <w:tab w:val="left" w:pos="85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5"/>
        </w:numPr>
        <w:tabs>
          <w:tab w:val="clear" w:pos="720"/>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ListParagraph"/>
        <w:numPr>
          <w:ilvl w:val="0"/>
          <w:numId w:val="0"/>
        </w:numPr>
        <w:tabs>
          <w:tab w:val="clear" w:pos="720"/>
          <w:tab w:val="left" w:pos="617" w:leader="none"/>
        </w:tabs>
        <w:snapToGrid w:val="false"/>
        <w:spacing w:lineRule="auto" w:line="276" w:before="57" w:after="57"/>
        <w:ind w:hanging="0" w:left="0"/>
        <w:contextualSpacing w:val="false"/>
        <w:jc w:val="both"/>
        <w:rPr>
          <w:rFonts w:ascii="Verdana" w:hAnsi="Verdana"/>
          <w:sz w:val="20"/>
          <w:szCs w:val="20"/>
        </w:rPr>
      </w:pPr>
      <w:r>
        <w:rPr>
          <w:rFonts w:cs="Arial" w:ascii="Verdana" w:hAnsi="Verdana"/>
          <w:bCs/>
          <w:sz w:val="20"/>
          <w:szCs w:val="20"/>
        </w:rPr>
        <w:t>8.12.1 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0"/>
          <w:numId w:val="0"/>
        </w:numPr>
        <w:tabs>
          <w:tab w:val="clear" w:pos="720"/>
          <w:tab w:val="left" w:pos="617" w:leader="none"/>
        </w:tabs>
        <w:snapToGrid w:val="false"/>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8.13 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tabs>
          <w:tab w:val="clear" w:pos="720"/>
          <w:tab w:val="left" w:pos="850" w:leader="none"/>
        </w:tabs>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8.13.1 A declaração do vencedor acontecerá no momento imediatamente posterior à fase de habilitação.</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bCs/>
          <w:sz w:val="20"/>
          <w:szCs w:val="20"/>
        </w:rPr>
        <w:t xml:space="preserve">8.14 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8.15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8.16 Havendo necessidade de analisar minuciosamente os documentos exigidos, o Pregoeiro suspenderá a sessão, informando no “chat” a nova data e horário para a continuidade da mesma.</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8.17 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8.18 Constatado o atendimento às exigências de habilitação fixadas no Edital, o licitante será declarado vencedor.</w:t>
      </w:r>
    </w:p>
    <w:p>
      <w:pPr>
        <w:pStyle w:val="ListParagraph"/>
        <w:tabs>
          <w:tab w:val="clear" w:pos="720"/>
          <w:tab w:val="left" w:pos="517" w:leader="none"/>
        </w:tabs>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5"/>
        </w:numPr>
        <w:spacing w:lineRule="auto" w:line="276" w:before="57" w:after="57"/>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5"/>
        </w:numPr>
        <w:tabs>
          <w:tab w:val="clear" w:pos="720"/>
          <w:tab w:val="left" w:pos="617" w:leader="none"/>
        </w:tabs>
        <w:spacing w:lineRule="auto" w:line="276" w:before="57" w:after="57"/>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5"/>
        </w:numPr>
        <w:tabs>
          <w:tab w:val="clear" w:pos="720"/>
          <w:tab w:val="left" w:pos="617" w:leader="none"/>
          <w:tab w:val="left" w:pos="900" w:leader="none"/>
        </w:tabs>
        <w:spacing w:lineRule="auto" w:line="276" w:before="57" w:after="57"/>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5"/>
        </w:numPr>
        <w:tabs>
          <w:tab w:val="clear" w:pos="720"/>
          <w:tab w:val="left" w:pos="617" w:leader="none"/>
          <w:tab w:val="left" w:pos="900" w:leader="none"/>
        </w:tabs>
        <w:spacing w:lineRule="auto" w:line="276" w:before="57" w:after="57"/>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5"/>
        </w:numPr>
        <w:tabs>
          <w:tab w:val="clear" w:pos="720"/>
          <w:tab w:val="left" w:pos="617" w:leader="none"/>
          <w:tab w:val="left" w:pos="900" w:leader="none"/>
        </w:tabs>
        <w:spacing w:lineRule="auto" w:line="276" w:before="57" w:after="57"/>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5"/>
        </w:numPr>
        <w:tabs>
          <w:tab w:val="clear" w:pos="720"/>
          <w:tab w:val="left" w:pos="850" w:leader="none"/>
        </w:tabs>
        <w:spacing w:lineRule="auto" w:line="276" w:before="57" w:after="57"/>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5"/>
        </w:numPr>
        <w:tabs>
          <w:tab w:val="clear" w:pos="720"/>
          <w:tab w:val="left" w:pos="850" w:leader="none"/>
        </w:tabs>
        <w:spacing w:lineRule="auto" w:line="276" w:before="57" w:after="57"/>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5"/>
        </w:numPr>
        <w:spacing w:lineRule="auto" w:line="276" w:before="57" w:after="57"/>
        <w:ind w:hanging="0" w:left="0"/>
        <w:rPr>
          <w:rFonts w:ascii="Verdana" w:hAnsi="Verdana"/>
        </w:rPr>
      </w:pPr>
      <w:r>
        <w:rPr>
          <w:rFonts w:cs="Arial" w:ascii="Verdana" w:hAnsi="Verdana"/>
          <w:lang w:eastAsia="en-US"/>
        </w:rPr>
        <w:t>DOS RECURSOS</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5"/>
        </w:numPr>
        <w:tabs>
          <w:tab w:val="clear" w:pos="720"/>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5"/>
        </w:numPr>
        <w:tabs>
          <w:tab w:val="clear" w:pos="720"/>
          <w:tab w:val="left" w:pos="85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5"/>
        </w:numPr>
        <w:tabs>
          <w:tab w:val="clear" w:pos="720"/>
          <w:tab w:val="left" w:pos="85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5"/>
        </w:numPr>
        <w:spacing w:lineRule="auto" w:line="276" w:before="57" w:after="57"/>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5"/>
        </w:numPr>
        <w:spacing w:lineRule="auto" w:line="276" w:before="57" w:after="57"/>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5"/>
        </w:numPr>
        <w:tabs>
          <w:tab w:val="left" w:pos="567" w:leader="none"/>
          <w:tab w:val="left" w:pos="850" w:leader="none"/>
        </w:tabs>
        <w:spacing w:lineRule="auto" w:line="276" w:before="57" w:after="57"/>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5"/>
        </w:numPr>
        <w:tabs>
          <w:tab w:val="left" w:pos="567" w:leader="none"/>
          <w:tab w:val="left" w:pos="850" w:leader="none"/>
        </w:tabs>
        <w:spacing w:lineRule="auto" w:line="276" w:before="57" w:after="57"/>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5"/>
        </w:numPr>
        <w:spacing w:lineRule="auto" w:line="276" w:before="57" w:after="57"/>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5"/>
        </w:numPr>
        <w:tabs>
          <w:tab w:val="left" w:pos="567" w:leader="none"/>
          <w:tab w:val="left" w:pos="850" w:leader="none"/>
        </w:tabs>
        <w:spacing w:lineRule="auto" w:line="276" w:before="57" w:after="57"/>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5"/>
        </w:numPr>
        <w:tabs>
          <w:tab w:val="left" w:pos="567" w:leader="none"/>
          <w:tab w:val="left" w:pos="850" w:leader="none"/>
        </w:tabs>
        <w:spacing w:lineRule="auto" w:line="276" w:before="57" w:after="57"/>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20"/>
          <w:tab w:val="left" w:pos="567" w:leader="none"/>
          <w:tab w:val="left" w:pos="850" w:leader="none"/>
        </w:tabs>
        <w:spacing w:lineRule="auto" w:line="276" w:before="57" w:after="57"/>
        <w:rPr>
          <w:rFonts w:ascii="Verdana" w:hAnsi="Verdana" w:cs="Arial"/>
          <w:sz w:val="20"/>
          <w:szCs w:val="20"/>
        </w:rPr>
      </w:pPr>
      <w:r>
        <w:rPr>
          <w:rFonts w:cs="Arial" w:ascii="Verdana" w:hAnsi="Verdana"/>
          <w:sz w:val="20"/>
          <w:szCs w:val="20"/>
        </w:rPr>
      </w:r>
    </w:p>
    <w:p>
      <w:pPr>
        <w:pStyle w:val="Nivel01"/>
        <w:numPr>
          <w:ilvl w:val="0"/>
          <w:numId w:val="5"/>
        </w:numPr>
        <w:spacing w:lineRule="auto" w:line="276" w:before="57" w:after="57"/>
        <w:ind w:hanging="0" w:left="0"/>
        <w:rPr>
          <w:rFonts w:ascii="Verdana" w:hAnsi="Verdana"/>
        </w:rPr>
      </w:pPr>
      <w:r>
        <w:rPr>
          <w:rFonts w:cs="Arial" w:ascii="Verdana" w:hAnsi="Verdana"/>
        </w:rPr>
        <w:t xml:space="preserve">DA ADJUDICAÇÃO E HOMOLOGAÇÃO </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numPr>
          <w:ilvl w:val="0"/>
          <w:numId w:val="5"/>
        </w:numPr>
        <w:spacing w:lineRule="auto" w:line="276" w:before="57" w:after="57"/>
        <w:ind w:hanging="0" w:left="0"/>
        <w:rPr>
          <w:rFonts w:ascii="Verdana" w:hAnsi="Verdana"/>
        </w:rPr>
      </w:pPr>
      <w:r>
        <w:rPr>
          <w:rFonts w:cs="Arial" w:ascii="Verdana" w:hAnsi="Verdana"/>
          <w:color w:val="auto"/>
        </w:rPr>
        <w:t xml:space="preserve">DA GARANTIA DE EXECUÇÃO </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sz w:val="20"/>
          <w:szCs w:val="20"/>
        </w:rPr>
        <w:t>Não haverá exigência de garantia de execução para a presente contratação.</w:t>
      </w:r>
    </w:p>
    <w:p>
      <w:pPr>
        <w:pStyle w:val="ListParagraph"/>
        <w:numPr>
          <w:ilvl w:val="2"/>
          <w:numId w:val="5"/>
        </w:numPr>
        <w:tabs>
          <w:tab w:val="clear" w:pos="720"/>
          <w:tab w:val="left" w:pos="850"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5"/>
        </w:numPr>
        <w:tabs>
          <w:tab w:val="clear" w:pos="720"/>
          <w:tab w:val="left" w:pos="850"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20"/>
          <w:tab w:val="left" w:pos="850" w:leader="none"/>
        </w:tabs>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14. DO REAJUSTAMENTO EM SENTIDO GERAL</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 xml:space="preserve">14.1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15. DA ACEITAÇÃO DO OBJETO E DA FISCALIZAÇÃO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15.1 Os critérios de recebimento e aceitação do objeto e de fiscalização estão previstos no Termo de Referência e Minuta de Contrato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lang w:eastAsia="en-US"/>
        </w:rPr>
        <w:t>16. DAS OBRIGAÇÕES DA CONTRATANTE E DA CONTRATADA</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16.1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de Contrato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Tahoma" w:ascii="Verdana" w:hAnsi="Verdana"/>
          <w:color w:val="auto"/>
        </w:rPr>
        <w:t>17</w:t>
      </w:r>
      <w:r>
        <w:rPr>
          <w:rFonts w:cs="Arial" w:ascii="Verdana" w:hAnsi="Verdana"/>
        </w:rPr>
        <w:t>. DO PAGAMENTO</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17.1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Contrato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18. DAS SANÇÕES ADMINISTRATIVAS.</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shd w:fill="FFFFFF" w:val="clear"/>
        </w:rPr>
        <w:t>18.1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18.1.1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 xml:space="preserve">18.1.2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18.1.2.1 Não enviar a proposta adequada ao último lance ofertado ou após a negociação;</w:t>
      </w:r>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18.1.2.2 Recusar-se a enviar o detalhamento da proposta quando exigível;</w:t>
      </w:r>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rPr>
        <w:t xml:space="preserve">18.1.2.3 Pedir para ser desclassificado quando encerrada a etapa competitiva; ou </w:t>
      </w:r>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18.1.2.4 Deixar de apresentar amostra;</w:t>
      </w:r>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18.1.2.5 Apresentar proposta ou amostra em desacordo com as especificações do edital;</w:t>
      </w:r>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18.1.3 Não celebrar o contrato ou não entregar documentação exigida para a contratação quando convocado dentro do prazo de validade de sua proposta;</w:t>
      </w:r>
    </w:p>
    <w:p>
      <w:pPr>
        <w:pStyle w:val="Normal"/>
        <w:spacing w:lineRule="auto" w:line="276" w:before="57" w:after="57"/>
        <w:jc w:val="both"/>
        <w:rPr>
          <w:rFonts w:ascii="Verdana" w:hAnsi="Verdana"/>
          <w:sz w:val="20"/>
          <w:szCs w:val="20"/>
        </w:rPr>
      </w:pPr>
      <w:r>
        <w:rPr>
          <w:rFonts w:cs="Arial" w:ascii="Verdana" w:hAnsi="Verdana"/>
          <w:sz w:val="20"/>
          <w:szCs w:val="20"/>
          <w:shd w:fill="FFFFFF" w:val="clear"/>
        </w:rPr>
        <w:t>18.1.3.1 Recusar-se sem justificativa, a assinar o contrato ou a ata de registro de preço, ou a aceitar ou retirar o instrumento equivalente no prazo estabelecido pela Administração;</w:t>
      </w:r>
    </w:p>
    <w:p>
      <w:pPr>
        <w:pStyle w:val="Normal"/>
        <w:spacing w:lineRule="auto" w:line="276" w:before="57" w:after="57"/>
        <w:jc w:val="both"/>
        <w:rPr>
          <w:rFonts w:ascii="Verdana" w:hAnsi="Verdana"/>
          <w:sz w:val="20"/>
          <w:szCs w:val="20"/>
        </w:rPr>
      </w:pPr>
      <w:r>
        <w:rPr>
          <w:rFonts w:ascii="Verdana" w:hAnsi="Verdana"/>
          <w:sz w:val="20"/>
          <w:szCs w:val="20"/>
        </w:rPr>
        <w:t>18.1.4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lineRule="auto" w:line="276" w:before="57" w:after="57"/>
        <w:jc w:val="both"/>
        <w:rPr>
          <w:rFonts w:ascii="Verdana" w:hAnsi="Verdana"/>
          <w:sz w:val="20"/>
          <w:szCs w:val="20"/>
        </w:rPr>
      </w:pPr>
      <w:r>
        <w:rPr>
          <w:rFonts w:ascii="Verdana" w:hAnsi="Verdana"/>
          <w:sz w:val="20"/>
          <w:szCs w:val="20"/>
        </w:rPr>
        <w:t>18.1.5 F</w:t>
      </w:r>
      <w:bookmarkStart w:id="16" w:name="_Ref114668245"/>
      <w:r>
        <w:rPr>
          <w:rFonts w:ascii="Verdana" w:hAnsi="Verdana"/>
          <w:sz w:val="20"/>
          <w:szCs w:val="20"/>
        </w:rPr>
        <w:t>raudar a licitação</w:t>
      </w:r>
      <w:bookmarkEnd w:id="16"/>
    </w:p>
    <w:p>
      <w:pPr>
        <w:pStyle w:val="Normal"/>
        <w:spacing w:lineRule="auto" w:line="276" w:before="57" w:after="57"/>
        <w:jc w:val="both"/>
        <w:rPr>
          <w:rFonts w:ascii="Verdana" w:hAnsi="Verdana"/>
          <w:sz w:val="20"/>
          <w:szCs w:val="20"/>
        </w:rPr>
      </w:pPr>
      <w:r>
        <w:rPr>
          <w:rFonts w:ascii="Verdana" w:hAnsi="Verdana"/>
          <w:sz w:val="20"/>
          <w:szCs w:val="20"/>
        </w:rPr>
        <w:t>18.1.6 C</w:t>
      </w:r>
      <w:bookmarkStart w:id="17" w:name="_Ref114668247"/>
      <w:r>
        <w:rPr>
          <w:rFonts w:ascii="Verdana" w:hAnsi="Verdana"/>
          <w:sz w:val="20"/>
          <w:szCs w:val="20"/>
        </w:rPr>
        <w:t>omportar-se de modo inidôneo ou cometer fraude de qualquer natureza, em especial quando:</w:t>
      </w:r>
      <w:bookmarkEnd w:id="17"/>
    </w:p>
    <w:p>
      <w:pPr>
        <w:pStyle w:val="Normal"/>
        <w:spacing w:lineRule="auto" w:line="276" w:before="57" w:after="57"/>
        <w:jc w:val="both"/>
        <w:rPr>
          <w:rFonts w:ascii="Verdana" w:hAnsi="Verdana"/>
          <w:sz w:val="20"/>
          <w:szCs w:val="20"/>
        </w:rPr>
      </w:pPr>
      <w:r>
        <w:rPr>
          <w:rFonts w:ascii="Verdana" w:hAnsi="Verdana"/>
          <w:sz w:val="20"/>
          <w:szCs w:val="20"/>
        </w:rPr>
        <w:t>18.1.6.1 Agir em conluio ou em desconformidade com a lei;</w:t>
      </w:r>
    </w:p>
    <w:p>
      <w:pPr>
        <w:pStyle w:val="Normal"/>
        <w:spacing w:lineRule="auto" w:line="276" w:before="57" w:after="57"/>
        <w:jc w:val="both"/>
        <w:rPr>
          <w:rFonts w:ascii="Verdana" w:hAnsi="Verdana"/>
          <w:sz w:val="20"/>
          <w:szCs w:val="20"/>
        </w:rPr>
      </w:pPr>
      <w:r>
        <w:rPr>
          <w:rFonts w:ascii="Verdana" w:hAnsi="Verdana"/>
          <w:sz w:val="20"/>
          <w:szCs w:val="20"/>
        </w:rPr>
        <w:t>18.1.6.2 Induzir deliberadamente a erro no julgamento;</w:t>
      </w:r>
    </w:p>
    <w:p>
      <w:pPr>
        <w:pStyle w:val="Normal"/>
        <w:spacing w:lineRule="auto" w:line="276" w:before="57" w:after="57"/>
        <w:jc w:val="both"/>
        <w:rPr>
          <w:rFonts w:ascii="Verdana" w:hAnsi="Verdana"/>
          <w:sz w:val="20"/>
          <w:szCs w:val="20"/>
        </w:rPr>
      </w:pPr>
      <w:r>
        <w:rPr>
          <w:rFonts w:ascii="Verdana" w:hAnsi="Verdana"/>
          <w:sz w:val="20"/>
          <w:szCs w:val="20"/>
        </w:rPr>
        <w:t>18.1.6.3 Apresentar amostra falsificada ou deteriorada;</w:t>
      </w:r>
    </w:p>
    <w:p>
      <w:pPr>
        <w:pStyle w:val="Normal"/>
        <w:spacing w:lineRule="auto" w:line="276" w:before="57" w:after="57"/>
        <w:jc w:val="both"/>
        <w:rPr>
          <w:rFonts w:ascii="Verdana" w:hAnsi="Verdana"/>
          <w:sz w:val="20"/>
          <w:szCs w:val="20"/>
        </w:rPr>
      </w:pPr>
      <w:r>
        <w:rPr>
          <w:rFonts w:ascii="Verdana" w:hAnsi="Verdana"/>
          <w:sz w:val="20"/>
          <w:szCs w:val="20"/>
        </w:rPr>
        <w:t>18.1.7 P</w:t>
      </w:r>
      <w:bookmarkStart w:id="18" w:name="_Ref114668251"/>
      <w:r>
        <w:rPr>
          <w:rFonts w:ascii="Verdana" w:hAnsi="Verdana"/>
          <w:sz w:val="20"/>
          <w:szCs w:val="20"/>
        </w:rPr>
        <w:t>raticar atos ilícitos com vistas a frustrar os objetivos da licitação</w:t>
      </w:r>
      <w:bookmarkEnd w:id="18"/>
    </w:p>
    <w:p>
      <w:pPr>
        <w:pStyle w:val="Normal"/>
        <w:spacing w:lineRule="auto" w:line="276" w:before="57" w:after="57"/>
        <w:jc w:val="both"/>
        <w:rPr/>
      </w:pPr>
      <w:r>
        <w:rPr>
          <w:rFonts w:ascii="Verdana" w:hAnsi="Verdana"/>
          <w:sz w:val="20"/>
          <w:szCs w:val="20"/>
        </w:rPr>
        <w:t>18.1.8 P</w:t>
      </w:r>
      <w:bookmarkStart w:id="19" w:name="_Ref114668252"/>
      <w:r>
        <w:rPr>
          <w:rFonts w:ascii="Verdana" w:hAnsi="Verdana"/>
          <w:sz w:val="20"/>
          <w:szCs w:val="20"/>
        </w:rPr>
        <w:t xml:space="preserve">raticar ato lesivo previsto no </w:t>
      </w:r>
      <w:r>
        <w:fldChar w:fldCharType="begin"/>
      </w:r>
      <w:r>
        <w:rPr>
          <w:rStyle w:val="ListLabel205"/>
          <w:sz w:val="20"/>
          <w:u w:val="none"/>
          <w:szCs w:val="20"/>
          <w:rFonts w:ascii="Verdana" w:hAnsi="Verdana"/>
          <w:color w:val="000000"/>
        </w:rPr>
        <w:instrText xml:space="preserve"> HYPERLINK "https://www.planalto.gov.br/ccivil_03/_ato2011-2014/2013/lei/l12846.htm" \l "art5"</w:instrText>
      </w:r>
      <w:r>
        <w:rPr>
          <w:rStyle w:val="ListLabel205"/>
          <w:sz w:val="20"/>
          <w:u w:val="none"/>
          <w:szCs w:val="20"/>
          <w:rFonts w:ascii="Verdana" w:hAnsi="Verdana"/>
          <w:color w:val="000000"/>
        </w:rPr>
        <w:fldChar w:fldCharType="separate"/>
      </w:r>
      <w:r>
        <w:rPr>
          <w:rStyle w:val="ListLabel205"/>
          <w:rFonts w:ascii="Verdana" w:hAnsi="Verdana"/>
          <w:color w:val="000000"/>
          <w:sz w:val="20"/>
          <w:szCs w:val="20"/>
          <w:u w:val="none"/>
        </w:rPr>
        <w:t>art. 5º da Lei n.º 12.846, de 2013</w:t>
      </w:r>
      <w:r>
        <w:rPr>
          <w:rStyle w:val="ListLabel205"/>
          <w:sz w:val="20"/>
          <w:u w:val="none"/>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before="57" w:after="57"/>
        <w:ind w:hanging="0" w:left="0"/>
        <w:rPr/>
      </w:pPr>
      <w:r>
        <w:rPr>
          <w:rFonts w:ascii="Verdana" w:hAnsi="Verdana"/>
        </w:rPr>
        <w:t xml:space="preserve">18.2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before="57" w:after="57"/>
        <w:ind w:hanging="0" w:left="0"/>
        <w:rPr>
          <w:rFonts w:ascii="Verdana" w:hAnsi="Verdana"/>
        </w:rPr>
      </w:pPr>
      <w:r>
        <w:rPr>
          <w:rFonts w:ascii="Verdana" w:hAnsi="Verdana"/>
        </w:rPr>
        <w:t>18.2.1 advertência;</w:t>
      </w:r>
    </w:p>
    <w:p>
      <w:pPr>
        <w:pStyle w:val="Nivel2"/>
        <w:numPr>
          <w:ilvl w:val="0"/>
          <w:numId w:val="0"/>
        </w:numPr>
        <w:spacing w:before="57" w:after="57"/>
        <w:ind w:hanging="0" w:left="0"/>
        <w:rPr>
          <w:rFonts w:ascii="Verdana" w:hAnsi="Verdana"/>
        </w:rPr>
      </w:pPr>
      <w:r>
        <w:rPr>
          <w:rFonts w:ascii="Verdana" w:hAnsi="Verdana"/>
        </w:rPr>
        <w:t>18.2.2 multa;</w:t>
      </w:r>
    </w:p>
    <w:p>
      <w:pPr>
        <w:pStyle w:val="Nivel2"/>
        <w:numPr>
          <w:ilvl w:val="0"/>
          <w:numId w:val="0"/>
        </w:numPr>
        <w:spacing w:before="57" w:after="57"/>
        <w:ind w:hanging="0" w:left="0"/>
        <w:rPr>
          <w:rFonts w:ascii="Verdana" w:hAnsi="Verdana"/>
        </w:rPr>
      </w:pPr>
      <w:r>
        <w:rPr>
          <w:rFonts w:ascii="Verdana" w:hAnsi="Verdana"/>
        </w:rPr>
        <w:t>18.2.3 impedimento de licitar e contratar e</w:t>
      </w:r>
    </w:p>
    <w:p>
      <w:pPr>
        <w:pStyle w:val="Nivel2"/>
        <w:numPr>
          <w:ilvl w:val="0"/>
          <w:numId w:val="0"/>
        </w:numPr>
        <w:spacing w:before="57" w:after="57"/>
        <w:ind w:hanging="0" w:left="0"/>
        <w:rPr>
          <w:rFonts w:ascii="Verdana" w:hAnsi="Verdana"/>
        </w:rPr>
      </w:pPr>
      <w:r>
        <w:rPr>
          <w:rFonts w:ascii="Verdana" w:hAnsi="Verdana"/>
        </w:rPr>
        <w:t>18.2.4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before="57" w:after="57"/>
        <w:ind w:hanging="0" w:left="0"/>
        <w:rPr>
          <w:rFonts w:ascii="Verdana" w:hAnsi="Verdana"/>
        </w:rPr>
      </w:pPr>
      <w:r>
        <w:rPr>
          <w:rFonts w:ascii="Verdana" w:hAnsi="Verdana"/>
        </w:rPr>
        <w:t>18.3 Na aplicação das sanções serão considerados:</w:t>
      </w:r>
    </w:p>
    <w:p>
      <w:pPr>
        <w:pStyle w:val="Nivel2"/>
        <w:numPr>
          <w:ilvl w:val="0"/>
          <w:numId w:val="0"/>
        </w:numPr>
        <w:spacing w:before="57" w:after="57"/>
        <w:ind w:hanging="0" w:left="0"/>
        <w:rPr>
          <w:rFonts w:ascii="Verdana" w:hAnsi="Verdana"/>
        </w:rPr>
      </w:pPr>
      <w:r>
        <w:rPr>
          <w:rFonts w:ascii="Verdana" w:hAnsi="Verdana"/>
        </w:rPr>
        <w:t>18.3.1 a natureza e a gravidade da infração cometida.</w:t>
      </w:r>
    </w:p>
    <w:p>
      <w:pPr>
        <w:pStyle w:val="Nivel2"/>
        <w:numPr>
          <w:ilvl w:val="0"/>
          <w:numId w:val="0"/>
        </w:numPr>
        <w:spacing w:before="57" w:after="57"/>
        <w:ind w:hanging="0" w:left="0"/>
        <w:rPr>
          <w:rFonts w:ascii="Verdana" w:hAnsi="Verdana"/>
        </w:rPr>
      </w:pPr>
      <w:r>
        <w:rPr>
          <w:rFonts w:ascii="Verdana" w:hAnsi="Verdana"/>
        </w:rPr>
        <w:t>18.3.2 as peculiaridades do caso concreto</w:t>
      </w:r>
    </w:p>
    <w:p>
      <w:pPr>
        <w:pStyle w:val="Nivel2"/>
        <w:numPr>
          <w:ilvl w:val="0"/>
          <w:numId w:val="0"/>
        </w:numPr>
        <w:spacing w:before="57" w:after="57"/>
        <w:ind w:hanging="0" w:left="0"/>
        <w:rPr>
          <w:rFonts w:ascii="Verdana" w:hAnsi="Verdana"/>
        </w:rPr>
      </w:pPr>
      <w:r>
        <w:rPr>
          <w:rFonts w:ascii="Verdana" w:hAnsi="Verdana"/>
        </w:rPr>
        <w:t>18.3.3 as circunstâncias agravantes ou atenuantes</w:t>
      </w:r>
    </w:p>
    <w:p>
      <w:pPr>
        <w:pStyle w:val="Nivel2"/>
        <w:numPr>
          <w:ilvl w:val="0"/>
          <w:numId w:val="0"/>
        </w:numPr>
        <w:spacing w:before="57" w:after="57"/>
        <w:ind w:hanging="0" w:left="0"/>
        <w:rPr>
          <w:rFonts w:ascii="Verdana" w:hAnsi="Verdana"/>
        </w:rPr>
      </w:pPr>
      <w:r>
        <w:rPr>
          <w:rFonts w:ascii="Verdana" w:hAnsi="Verdana"/>
        </w:rPr>
        <w:t>18.3.4 os danos que dela provierem para a Administração Pública</w:t>
      </w:r>
    </w:p>
    <w:p>
      <w:pPr>
        <w:pStyle w:val="Nivel2"/>
        <w:numPr>
          <w:ilvl w:val="0"/>
          <w:numId w:val="0"/>
        </w:numPr>
        <w:spacing w:before="57" w:after="57"/>
        <w:ind w:hanging="0" w:left="0"/>
        <w:rPr>
          <w:rFonts w:ascii="Verdana" w:hAnsi="Verdana"/>
        </w:rPr>
      </w:pPr>
      <w:r>
        <w:rPr>
          <w:rFonts w:ascii="Verdana" w:hAnsi="Verdana"/>
        </w:rPr>
        <w:t>18.3.5 a implantação ou o aperfeiçoamento de programa de integridade, conforme normas e orientações dos órgãos de controle.</w:t>
      </w:r>
    </w:p>
    <w:p>
      <w:pPr>
        <w:pStyle w:val="Nivel2"/>
        <w:numPr>
          <w:ilvl w:val="0"/>
          <w:numId w:val="0"/>
        </w:numPr>
        <w:spacing w:before="57" w:after="57"/>
        <w:ind w:hanging="0" w:left="0"/>
        <w:rPr>
          <w:rFonts w:ascii="Verdana" w:hAnsi="Verdana"/>
        </w:rPr>
      </w:pPr>
      <w:r>
        <w:rPr>
          <w:rFonts w:ascii="Verdana" w:hAnsi="Verdana"/>
        </w:rPr>
        <w:t>18.4 A multa será recolhida em percentual de 10% incidente sobre o valor do contrato licitado, recolhida no prazo máximo de 30 (Trinta) dias úteis, a contar da comunicação oficial.</w:t>
      </w:r>
    </w:p>
    <w:p>
      <w:pPr>
        <w:pStyle w:val="Nivel2"/>
        <w:numPr>
          <w:ilvl w:val="0"/>
          <w:numId w:val="0"/>
        </w:numPr>
        <w:spacing w:before="57" w:after="57"/>
        <w:ind w:hanging="0" w:left="0"/>
        <w:rPr>
          <w:rFonts w:ascii="Verdana" w:hAnsi="Verdana"/>
        </w:rPr>
      </w:pPr>
      <w:r>
        <w:rPr>
          <w:rFonts w:ascii="Verdana" w:hAnsi="Verdana"/>
        </w:rPr>
        <w:t xml:space="preserve">18.4.1 </w:t>
      </w:r>
      <w:bookmarkStart w:id="20" w:name="_Hlk113876035"/>
      <w:bookmarkStart w:id="21" w:name="_Hlk113876035_Copia_1"/>
      <w:r>
        <w:rPr>
          <w:rFonts w:ascii="Verdana" w:hAnsi="Verdana"/>
        </w:rPr>
        <w:t>Para as infrações previstas nos itens 18.1.1, 18.1.2 e 18.1.3, a multa será de 5% do valor do contrato licitado.</w:t>
      </w:r>
      <w:bookmarkEnd w:id="20"/>
      <w:bookmarkEnd w:id="21"/>
    </w:p>
    <w:p>
      <w:pPr>
        <w:pStyle w:val="Nivel2"/>
        <w:numPr>
          <w:ilvl w:val="0"/>
          <w:numId w:val="0"/>
        </w:numPr>
        <w:spacing w:before="57" w:after="57"/>
        <w:ind w:hanging="0" w:left="0"/>
        <w:rPr>
          <w:rFonts w:ascii="Verdana" w:hAnsi="Verdana"/>
        </w:rPr>
      </w:pPr>
      <w:r>
        <w:rPr>
          <w:rFonts w:ascii="Verdana" w:hAnsi="Verdana"/>
        </w:rPr>
        <w:t>18.4.2 Para as infrações previstas nos itens 18.1.4, 18.1.5, 18.1.6, 18.1.7 e 18.1.8, a multa será de 15% do valor do contrato licitado.</w:t>
      </w:r>
    </w:p>
    <w:p>
      <w:pPr>
        <w:pStyle w:val="Nivel2"/>
        <w:numPr>
          <w:ilvl w:val="0"/>
          <w:numId w:val="0"/>
        </w:numPr>
        <w:spacing w:before="57" w:after="57"/>
        <w:ind w:hanging="0" w:left="0"/>
        <w:rPr>
          <w:rFonts w:ascii="Verdana" w:hAnsi="Verdana"/>
        </w:rPr>
      </w:pPr>
      <w:r>
        <w:rPr>
          <w:rFonts w:ascii="Verdana" w:hAnsi="Verdana"/>
        </w:rPr>
        <w:t>18.5 As sanções de advertência, impedimento de licitar e contratar e declaração de inidoneidade para licitar ou contratar poderão ser aplicadas, cumulativamente ou não, à penalidade de multa.</w:t>
      </w:r>
    </w:p>
    <w:p>
      <w:pPr>
        <w:pStyle w:val="Nivel2"/>
        <w:numPr>
          <w:ilvl w:val="0"/>
          <w:numId w:val="0"/>
        </w:numPr>
        <w:spacing w:before="57" w:after="57"/>
        <w:ind w:hanging="0" w:left="0"/>
        <w:rPr>
          <w:rFonts w:ascii="Verdana" w:hAnsi="Verdana"/>
        </w:rPr>
      </w:pPr>
      <w:r>
        <w:rPr>
          <w:rFonts w:ascii="Verdana" w:hAnsi="Verdana"/>
        </w:rPr>
        <w:t>18.6 Na aplicação da sanção de multa será facultada a defesa do interessado no prazo de 15 (quinze) dias úteis, contado da data de sua intimação.</w:t>
      </w:r>
    </w:p>
    <w:p>
      <w:pPr>
        <w:pStyle w:val="Nivel2"/>
        <w:numPr>
          <w:ilvl w:val="0"/>
          <w:numId w:val="0"/>
        </w:numPr>
        <w:spacing w:before="57" w:after="57"/>
        <w:ind w:hanging="0" w:left="0"/>
        <w:rPr>
          <w:rFonts w:ascii="Verdana" w:hAnsi="Verdana"/>
        </w:rPr>
      </w:pPr>
      <w:r>
        <w:rPr>
          <w:rFonts w:ascii="Verdana" w:hAnsi="Verdana"/>
        </w:rPr>
        <w:t>18.7 A sanção de impedimento de licitar e contratar será aplicada ao responsável em decorrência das infrações administrativas relacionadas nos itens 18.1.1, 18.1.2 e 18.1.3,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before="57" w:after="57"/>
        <w:ind w:hanging="0" w:left="0"/>
        <w:rPr/>
      </w:pPr>
      <w:r>
        <w:rPr>
          <w:rFonts w:ascii="Verdana" w:hAnsi="Verdana"/>
        </w:rPr>
        <w:t xml:space="preserve">18.8 Poderá ser aplicada ao responsável a sanção de declaração de inidoneidade para licitar ou contratar, em decorrência da prática das infrações dispostas nos itens 18.1.4, 18.1.5, 18.1.6, 18.1.7 e 18.1.8, bem como pelas infrações administrativas previstas nos itens 18.1.1, 18.1.2 e 18.1.3 que justifiquem a imposição de penalidade mais grave que a sanção de impedimento de licitar e contratar, cuja duração observará o prazo previsto no </w:t>
      </w:r>
      <w:r>
        <w:fldChar w:fldCharType="begin"/>
      </w:r>
      <w:r>
        <w:rPr>
          <w:rStyle w:val="ListLabel206"/>
          <w:u w:val="none"/>
          <w:rFonts w:ascii="Verdana" w:hAnsi="Verdana"/>
          <w:color w:val="000000"/>
        </w:rPr>
        <w:instrText xml:space="preserve"> HYPERLINK "http://www.planalto.gov.br/ccivil_03/_ato2019-2022/2021/lei/L14133.htm" \l "art156%C2%A75"</w:instrText>
      </w:r>
      <w:r>
        <w:rPr>
          <w:rStyle w:val="ListLabel206"/>
          <w:u w:val="none"/>
          <w:rFonts w:ascii="Verdana" w:hAnsi="Verdana"/>
          <w:color w:val="000000"/>
        </w:rPr>
        <w:fldChar w:fldCharType="separate"/>
      </w:r>
      <w:r>
        <w:rPr>
          <w:rStyle w:val="ListLabel206"/>
          <w:rFonts w:ascii="Verdana" w:hAnsi="Verdana"/>
          <w:color w:val="000000"/>
          <w:u w:val="none"/>
        </w:rPr>
        <w:t>art. 156, §5º, da Lei n.º 14.133/2021</w:t>
      </w:r>
      <w:r>
        <w:rPr>
          <w:rStyle w:val="ListLabel206"/>
          <w:u w:val="none"/>
          <w:rFonts w:ascii="Verdana" w:hAnsi="Verdana"/>
          <w:color w:val="000000"/>
        </w:rPr>
        <w:fldChar w:fldCharType="end"/>
      </w:r>
      <w:r>
        <w:rPr>
          <w:rFonts w:ascii="Verdana" w:hAnsi="Verdana"/>
        </w:rPr>
        <w:t>.</w:t>
      </w:r>
    </w:p>
    <w:p>
      <w:pPr>
        <w:pStyle w:val="Nivel2"/>
        <w:numPr>
          <w:ilvl w:val="0"/>
          <w:numId w:val="0"/>
        </w:numPr>
        <w:spacing w:before="57" w:after="57"/>
        <w:ind w:hanging="0" w:left="0"/>
        <w:rPr/>
      </w:pPr>
      <w:r>
        <w:rPr>
          <w:rFonts w:ascii="Verdana" w:hAnsi="Verdana"/>
        </w:rPr>
        <w:t xml:space="preserve">18.9 A recusa injustificada do adjudicatário em assinar o contrato ou a ata de registro de preço, ou em aceitar ou retirar o instrumento equivalente no prazo estabelecido pela Administração, descrita no item 18.1.3, caracterizará o descumprimento total da obrigação assumida e o sujeitará às penalidades e à imediata perda da garantia de proposta em favor do órgão ou entidade promotora da licitação, nos termos do </w:t>
      </w:r>
      <w:hyperlink r:id="rId9">
        <w:r>
          <w:rPr>
            <w:rStyle w:val="ListLabel206"/>
            <w:rFonts w:ascii="Verdana" w:hAnsi="Verdana"/>
            <w:color w:val="000000"/>
            <w:u w:val="none"/>
          </w:rPr>
          <w:t>art. 45, §4º da IN SEGES/ME n.º 73, de 2022</w:t>
        </w:r>
      </w:hyperlink>
      <w:r>
        <w:rPr>
          <w:rFonts w:ascii="Verdana" w:hAnsi="Verdana"/>
        </w:rPr>
        <w:t xml:space="preserve">. </w:t>
      </w:r>
    </w:p>
    <w:p>
      <w:pPr>
        <w:pStyle w:val="Nivel2"/>
        <w:numPr>
          <w:ilvl w:val="0"/>
          <w:numId w:val="0"/>
        </w:numPr>
        <w:spacing w:before="57" w:after="57"/>
        <w:ind w:hanging="0" w:left="0"/>
        <w:rPr>
          <w:rFonts w:ascii="Verdana" w:hAnsi="Verdana"/>
        </w:rPr>
      </w:pPr>
      <w:r>
        <w:rPr>
          <w:rFonts w:ascii="Verdana" w:hAnsi="Verdana"/>
        </w:rPr>
        <w:t xml:space="preserve">18.10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before="57" w:after="57"/>
        <w:ind w:hanging="0" w:left="0"/>
        <w:rPr>
          <w:rFonts w:ascii="Verdana" w:hAnsi="Verdana"/>
        </w:rPr>
      </w:pPr>
      <w:r>
        <w:rPr>
          <w:rFonts w:ascii="Verdana" w:hAnsi="Verdana"/>
        </w:rPr>
        <w:t>18.11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before="57" w:after="57"/>
        <w:ind w:hanging="0" w:left="0"/>
        <w:rPr>
          <w:rFonts w:ascii="Verdana" w:hAnsi="Verdana"/>
        </w:rPr>
      </w:pPr>
      <w:r>
        <w:rPr>
          <w:rFonts w:ascii="Verdana" w:hAnsi="Verdana"/>
        </w:rPr>
        <w:t>18.11.1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before="57" w:after="57"/>
        <w:ind w:hanging="0" w:left="0"/>
        <w:rPr>
          <w:rFonts w:ascii="Verdana" w:hAnsi="Verdana"/>
        </w:rPr>
      </w:pPr>
      <w:r>
        <w:rPr>
          <w:rFonts w:ascii="Verdana" w:hAnsi="Verdana"/>
        </w:rPr>
        <w:t>18.12 O recurso e o pedido de reconsideração terão efeito suspensivo do ato ou da decisão recorrida até que sobrevenha decisão final da autoridade competente.</w:t>
      </w:r>
    </w:p>
    <w:p>
      <w:pPr>
        <w:pStyle w:val="Nivel2"/>
        <w:numPr>
          <w:ilvl w:val="0"/>
          <w:numId w:val="0"/>
        </w:numPr>
        <w:spacing w:before="57" w:after="57"/>
        <w:ind w:hanging="0" w:left="0"/>
        <w:rPr>
          <w:rFonts w:ascii="Verdana" w:hAnsi="Verdana"/>
        </w:rPr>
      </w:pPr>
      <w:r>
        <w:rPr>
          <w:rFonts w:cs="Arial" w:ascii="Verdana" w:hAnsi="Verdana"/>
          <w:shd w:fill="FFFFFF" w:val="clear"/>
        </w:rPr>
        <w:t>18.13 A aplicação das sanções previstas neste edital não exclui, em hipótese alguma, a obrigação de reparação integral dos danos causados.</w:t>
      </w:r>
    </w:p>
    <w:p>
      <w:pPr>
        <w:pStyle w:val="Nivel2"/>
        <w:numPr>
          <w:ilvl w:val="0"/>
          <w:numId w:val="0"/>
        </w:numPr>
        <w:spacing w:before="57" w:after="57"/>
        <w:ind w:hanging="0" w:left="0"/>
        <w:rPr>
          <w:rFonts w:ascii="Verdana" w:hAnsi="Verdana"/>
        </w:rPr>
      </w:pPr>
      <w:r>
        <w:rPr>
          <w:rFonts w:ascii="Verdana" w:hAnsi="Verdana"/>
        </w:rPr>
      </w:r>
    </w:p>
    <w:p>
      <w:pPr>
        <w:pStyle w:val="Nivel01"/>
        <w:spacing w:lineRule="auto" w:line="276" w:before="57" w:after="57"/>
        <w:rPr>
          <w:rFonts w:ascii="Verdana" w:hAnsi="Verdana"/>
        </w:rPr>
      </w:pPr>
      <w:r>
        <w:rPr>
          <w:rFonts w:cs="Arial" w:ascii="Verdana" w:hAnsi="Verdana"/>
        </w:rPr>
        <w:t>19. DA IMPUGNAÇÃO AO EDITAL E DO PEDIDO DE ESCLARECIMENTO</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rPr>
        <w:t xml:space="preserve">19.1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57" w:after="57"/>
        <w:ind w:left="0"/>
        <w:contextualSpacing w:val="false"/>
        <w:jc w:val="both"/>
        <w:rPr/>
      </w:pPr>
      <w:r>
        <w:rPr>
          <w:rFonts w:cs="Arial" w:ascii="Verdana" w:hAnsi="Verdana"/>
          <w:color w:val="000000"/>
          <w:sz w:val="20"/>
          <w:szCs w:val="20"/>
        </w:rPr>
        <w:t xml:space="preserve">19.2 A impugnação poderá ser realizada por forma eletrônica, pelo e-mail </w:t>
      </w:r>
      <w:hyperlink r:id="rId10">
        <w:r>
          <w:rPr>
            <w:rStyle w:val="ListLabel20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19.3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19.4 Acolhida a impugnação, será definida e publicada nova data para a realização do certame.</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 xml:space="preserve">19.5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19.6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19.7 As impugnações e pedidos de esclarecimentos não suspendem os prazos previstos no certame.</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19.8 A concessão de efeito suspensivo à impugnação é medida excepcional e deverá ser motivada pelo pregoeiro, nos autos do processo de licitação.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19.9 As respostas aos pedidos de esclarecimentos serão divulgadas pelo sistema e vincularão os participantes e a administração.</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20. DAS DISPOSIÇÕES GERAIS</w:t>
      </w:r>
    </w:p>
    <w:p>
      <w:pPr>
        <w:pStyle w:val="Normal"/>
        <w:spacing w:lineRule="auto" w:line="276" w:before="57" w:after="57"/>
        <w:jc w:val="both"/>
        <w:rPr>
          <w:rFonts w:ascii="Verdana" w:hAnsi="Verdana"/>
          <w:sz w:val="20"/>
          <w:szCs w:val="20"/>
        </w:rPr>
      </w:pPr>
      <w:r>
        <w:rPr>
          <w:rFonts w:cs="Arial" w:ascii="Verdana" w:hAnsi="Verdana"/>
          <w:color w:val="000000"/>
          <w:sz w:val="20"/>
          <w:szCs w:val="20"/>
        </w:rPr>
        <w:t>20.1 Da sessão pública do Pregão divulgar-se-á Ata no sistema eletrônico.</w:t>
      </w:r>
    </w:p>
    <w:p>
      <w:pPr>
        <w:pStyle w:val="Normal"/>
        <w:spacing w:lineRule="auto" w:line="276" w:before="57" w:after="57"/>
        <w:jc w:val="both"/>
        <w:rPr>
          <w:rFonts w:ascii="Verdana" w:hAnsi="Verdana"/>
          <w:sz w:val="20"/>
          <w:szCs w:val="20"/>
        </w:rPr>
      </w:pPr>
      <w:r>
        <w:rPr>
          <w:rFonts w:cs="Arial" w:ascii="Verdana" w:hAnsi="Verdana"/>
          <w:color w:val="000000"/>
          <w:sz w:val="20"/>
          <w:szCs w:val="20"/>
        </w:rPr>
        <w:t>20.2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57" w:after="57"/>
        <w:jc w:val="both"/>
        <w:rPr>
          <w:rFonts w:ascii="Verdana" w:hAnsi="Verdana"/>
          <w:sz w:val="20"/>
          <w:szCs w:val="20"/>
        </w:rPr>
      </w:pPr>
      <w:r>
        <w:rPr>
          <w:rFonts w:cs="Arial" w:ascii="Verdana" w:hAnsi="Verdana"/>
          <w:color w:val="000000"/>
          <w:sz w:val="20"/>
          <w:szCs w:val="20"/>
        </w:rPr>
        <w:t>20.3 Todas as referências de tempo no Edital, no aviso e durante a sessão pública observarão o horário de Brasília – DF.</w:t>
      </w:r>
    </w:p>
    <w:p>
      <w:pPr>
        <w:pStyle w:val="Normal"/>
        <w:spacing w:lineRule="auto" w:line="276" w:before="57" w:after="57"/>
        <w:jc w:val="both"/>
        <w:rPr>
          <w:rFonts w:ascii="Verdana" w:hAnsi="Verdana"/>
          <w:sz w:val="20"/>
          <w:szCs w:val="20"/>
        </w:rPr>
      </w:pPr>
      <w:r>
        <w:rPr>
          <w:rFonts w:cs="Arial" w:ascii="Verdana" w:hAnsi="Verdana"/>
          <w:color w:val="000000"/>
          <w:sz w:val="20"/>
          <w:szCs w:val="20"/>
        </w:rPr>
        <w:t>20.4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20.5 A homologação do resultado desta licitação não implicará direito à contratação.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20.6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20.7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57" w:after="57"/>
        <w:jc w:val="both"/>
        <w:rPr>
          <w:rFonts w:ascii="Verdana" w:hAnsi="Verdana"/>
          <w:sz w:val="20"/>
          <w:szCs w:val="20"/>
        </w:rPr>
      </w:pPr>
      <w:r>
        <w:rPr>
          <w:rFonts w:cs="Arial" w:ascii="Verdana" w:hAnsi="Verdana"/>
          <w:color w:val="000000"/>
          <w:sz w:val="20"/>
          <w:szCs w:val="20"/>
        </w:rPr>
        <w:t>20.8 Na contagem dos prazos estabelecidos neste Edital e seus Anexos, excluir-se-á o dia do início e incluir-se-á o do vencimento. Só se iniciam e vencem os prazos em dias de expediente na Administração.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20.9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57" w:after="57"/>
        <w:jc w:val="both"/>
        <w:rPr>
          <w:rFonts w:ascii="Verdana" w:hAnsi="Verdana"/>
          <w:sz w:val="20"/>
          <w:szCs w:val="20"/>
        </w:rPr>
      </w:pPr>
      <w:r>
        <w:rPr>
          <w:rFonts w:cs="Arial" w:ascii="Verdana" w:hAnsi="Verdana"/>
          <w:color w:val="000000"/>
          <w:sz w:val="20"/>
          <w:szCs w:val="20"/>
        </w:rPr>
        <w:t>20.10 Em caso de divergência entre disposições deste Edital e de seus anexos ou demais peças que compõem o processo, prevalecerá as deste Edital.</w:t>
      </w:r>
    </w:p>
    <w:p>
      <w:pPr>
        <w:pStyle w:val="Normal"/>
        <w:spacing w:lineRule="auto" w:line="276" w:before="57" w:after="57"/>
        <w:jc w:val="both"/>
        <w:rPr/>
      </w:pPr>
      <w:r>
        <w:rPr>
          <w:rFonts w:cs="Arial" w:ascii="Verdana" w:hAnsi="Verdana"/>
          <w:color w:val="000000"/>
          <w:sz w:val="20"/>
          <w:szCs w:val="20"/>
        </w:rPr>
        <w:t xml:space="preserve">20.11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1">
        <w:r>
          <w:rPr>
            <w:rStyle w:val="ListLabel203"/>
            <w:rFonts w:ascii="Verdana" w:hAnsi="Verdana"/>
            <w:color w:val="000080"/>
            <w:sz w:val="20"/>
            <w:szCs w:val="20"/>
            <w:u w:val="single"/>
          </w:rPr>
          <w:t>licitacao@</w:t>
        </w:r>
      </w:hyperlink>
      <w:hyperlink r:id="rId12">
        <w:r>
          <w:rPr>
            <w:rStyle w:val="ListLabel203"/>
            <w:rFonts w:ascii="Verdana" w:hAnsi="Verdana"/>
            <w:color w:val="000080"/>
            <w:sz w:val="20"/>
            <w:szCs w:val="20"/>
            <w:u w:val="single"/>
          </w:rPr>
          <w:t>saogabriel</w:t>
        </w:r>
      </w:hyperlink>
      <w:hyperlink r:id="rId13">
        <w:r>
          <w:rPr>
            <w:rStyle w:val="ListLabel203"/>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before="57" w:after="57"/>
        <w:jc w:val="both"/>
        <w:rPr>
          <w:rFonts w:ascii="Verdana" w:hAnsi="Verdana"/>
          <w:sz w:val="20"/>
          <w:szCs w:val="20"/>
        </w:rPr>
      </w:pPr>
      <w:r>
        <w:rPr>
          <w:rFonts w:cs="Arial" w:ascii="Verdana" w:hAnsi="Verdana"/>
          <w:color w:val="000000"/>
          <w:sz w:val="20"/>
          <w:szCs w:val="20"/>
        </w:rPr>
        <w:t>20.12 Integram este Edital, para todos os fins e efeitos, os seguintes anexos</w:t>
      </w:r>
    </w:p>
    <w:p>
      <w:pPr>
        <w:pStyle w:val="Normal"/>
        <w:spacing w:lineRule="auto" w:line="276" w:before="57" w:after="57"/>
        <w:jc w:val="both"/>
        <w:rPr>
          <w:rFonts w:ascii="Verdana" w:hAnsi="Verdana"/>
          <w:sz w:val="20"/>
          <w:szCs w:val="20"/>
        </w:rPr>
      </w:pPr>
      <w:r>
        <w:rPr>
          <w:rFonts w:cs="Arial" w:ascii="Verdana" w:hAnsi="Verdana"/>
          <w:color w:val="000000"/>
          <w:sz w:val="20"/>
          <w:szCs w:val="20"/>
        </w:rPr>
        <w:t>20.12.1 ANEXO I – Modelo Orientativo de Proposta;</w:t>
      </w:r>
    </w:p>
    <w:p>
      <w:pPr>
        <w:pStyle w:val="Normal"/>
        <w:spacing w:lineRule="auto" w:line="276" w:before="57" w:after="57"/>
        <w:jc w:val="both"/>
        <w:rPr>
          <w:rFonts w:ascii="Verdana" w:hAnsi="Verdana"/>
          <w:sz w:val="20"/>
          <w:szCs w:val="20"/>
        </w:rPr>
      </w:pPr>
      <w:r>
        <w:rPr>
          <w:rFonts w:cs="Arial" w:ascii="Verdana" w:hAnsi="Verdana"/>
          <w:color w:val="000000"/>
          <w:sz w:val="20"/>
          <w:szCs w:val="20"/>
        </w:rPr>
        <w:t>20.12.2 ANEXO II – Termo de Referência;</w:t>
      </w:r>
    </w:p>
    <w:p>
      <w:pPr>
        <w:pStyle w:val="Normal"/>
        <w:spacing w:lineRule="auto" w:line="276" w:before="57" w:after="57"/>
        <w:jc w:val="both"/>
        <w:rPr>
          <w:rFonts w:ascii="Verdana" w:hAnsi="Verdana"/>
          <w:sz w:val="20"/>
          <w:szCs w:val="20"/>
        </w:rPr>
      </w:pPr>
      <w:r>
        <w:rPr>
          <w:rFonts w:cs="Arial" w:ascii="Verdana" w:hAnsi="Verdana"/>
          <w:color w:val="000000"/>
          <w:sz w:val="20"/>
          <w:szCs w:val="20"/>
        </w:rPr>
        <w:t>20.12.3 ANEXO II-1 – Estudo Técnico Preliminar;</w:t>
      </w:r>
    </w:p>
    <w:p>
      <w:pPr>
        <w:pStyle w:val="Normal"/>
        <w:tabs>
          <w:tab w:val="clear" w:pos="720"/>
          <w:tab w:val="left" w:pos="80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20.12.3 ANEXO III – Minuta de Contrato.</w:t>
      </w:r>
    </w:p>
    <w:p>
      <w:pPr>
        <w:pStyle w:val="Normal"/>
        <w:keepNext w:val="true"/>
        <w:keepLines/>
        <w:numPr>
          <w:ilvl w:val="0"/>
          <w:numId w:val="0"/>
        </w:numPr>
        <w:tabs>
          <w:tab w:val="clear" w:pos="720"/>
          <w:tab w:val="left" w:pos="567" w:leader="none"/>
        </w:tabs>
        <w:spacing w:lineRule="auto" w:line="276" w:before="57" w:after="57"/>
        <w:ind w:hanging="0" w:left="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s>
        <w:spacing w:lineRule="auto" w:line="276" w:before="57" w:after="57"/>
        <w:ind w:hanging="0" w:left="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s>
        <w:spacing w:lineRule="auto" w:line="276" w:before="57" w:after="57"/>
        <w:ind w:hanging="0" w:left="0"/>
        <w:jc w:val="center"/>
        <w:outlineLvl w:val="0"/>
        <w:rPr>
          <w:rFonts w:ascii="Verdana" w:hAnsi="Verdana"/>
          <w:sz w:val="20"/>
          <w:szCs w:val="20"/>
        </w:rPr>
      </w:pPr>
      <w:r>
        <w:rPr>
          <w:rFonts w:cs="Arial" w:ascii="Verdana" w:hAnsi="Verdana"/>
          <w:color w:val="000000"/>
          <w:sz w:val="20"/>
          <w:szCs w:val="20"/>
        </w:rPr>
        <w:t>São Gabriel da Palha/ES, 10 de dezembro de 2024.</w:t>
      </w:r>
    </w:p>
    <w:p>
      <w:pPr>
        <w:pStyle w:val="Normal"/>
        <w:tabs>
          <w:tab w:val="clear" w:pos="720"/>
          <w:tab w:val="left" w:pos="1440" w:leader="none"/>
        </w:tabs>
        <w:snapToGrid w:val="false"/>
        <w:spacing w:lineRule="auto" w:line="276" w:before="57" w:after="57"/>
        <w:jc w:val="both"/>
        <w:rPr>
          <w:rFonts w:ascii="Verdana" w:hAnsi="Verdana" w:cs="Arial"/>
          <w:sz w:val="20"/>
          <w:szCs w:val="20"/>
        </w:rPr>
      </w:pPr>
      <w:r>
        <w:rPr>
          <w:rFonts w:cs="Arial" w:ascii="Verdana" w:hAnsi="Verdana"/>
          <w:sz w:val="20"/>
          <w:szCs w:val="20"/>
        </w:rPr>
      </w:r>
    </w:p>
    <w:p>
      <w:pPr>
        <w:pStyle w:val="Normal"/>
        <w:tabs>
          <w:tab w:val="clear" w:pos="720"/>
          <w:tab w:val="left" w:pos="1440" w:leader="none"/>
        </w:tabs>
        <w:snapToGrid w:val="false"/>
        <w:spacing w:lineRule="auto" w:line="276" w:before="57" w:after="57"/>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20"/>
          <w:tab w:val="left" w:pos="567" w:leader="none"/>
        </w:tabs>
        <w:spacing w:lineRule="auto" w:line="276" w:before="57" w:after="57"/>
        <w:ind w:hanging="0" w:left="0"/>
        <w:jc w:val="center"/>
        <w:outlineLvl w:val="0"/>
        <w:rPr>
          <w:rFonts w:ascii="Verdana" w:hAnsi="Verdana"/>
          <w:sz w:val="20"/>
          <w:szCs w:val="20"/>
        </w:rPr>
      </w:pPr>
      <w:r>
        <w:rPr>
          <w:rFonts w:eastAsia="" w:cs="Arial" w:ascii="Verdana" w:hAnsi="Verdana" w:eastAsiaTheme="majorEastAsia"/>
          <w:b/>
          <w:bCs/>
          <w:color w:val="000000"/>
          <w:sz w:val="20"/>
          <w:szCs w:val="20"/>
        </w:rPr>
        <w:t>MARLENE SILVA TEIXEIRA DE SOUZA</w:t>
      </w:r>
    </w:p>
    <w:p>
      <w:pPr>
        <w:pStyle w:val="Normal"/>
        <w:keepNext w:val="true"/>
        <w:keepLines/>
        <w:numPr>
          <w:ilvl w:val="0"/>
          <w:numId w:val="0"/>
        </w:numPr>
        <w:tabs>
          <w:tab w:val="clear" w:pos="720"/>
          <w:tab w:val="left" w:pos="567" w:leader="none"/>
        </w:tabs>
        <w:spacing w:lineRule="auto" w:line="276" w:before="57" w:after="57"/>
        <w:ind w:hanging="0" w:left="0"/>
        <w:jc w:val="center"/>
        <w:outlineLvl w:val="0"/>
        <w:rPr>
          <w:rFonts w:ascii="Verdana" w:hAnsi="Verdana"/>
          <w:sz w:val="20"/>
          <w:szCs w:val="20"/>
        </w:rPr>
      </w:pPr>
      <w:r>
        <w:rPr>
          <w:rFonts w:eastAsia="" w:cs="Arial" w:ascii="Verdana" w:hAnsi="Verdana" w:eastAsiaTheme="majorEastAsia"/>
          <w:b/>
          <w:bCs/>
          <w:color w:val="000000"/>
          <w:sz w:val="20"/>
          <w:szCs w:val="20"/>
        </w:rPr>
        <w:t>Secretária Municipal de Educação</w:t>
      </w:r>
    </w:p>
    <w:sectPr>
      <w:headerReference w:type="even" r:id="rId14"/>
      <w:headerReference w:type="default" r:id="rId15"/>
      <w:headerReference w:type="first" r:id="rId16"/>
      <w:footerReference w:type="even" r:id="rId17"/>
      <w:footerReference w:type="default" r:id="rId18"/>
      <w:footerReference w:type="first" r:id="rId19"/>
      <w:type w:val="nextPage"/>
      <w:pgSz w:w="11906" w:h="16838"/>
      <w:pgMar w:left="1367" w:right="872" w:gutter="0" w:header="517" w:top="1767" w:footer="340" w:bottom="83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7"/>
      <w:numFmt w:val="decimal"/>
      <w:lvlText w:val="%1"/>
      <w:lvlJc w:val="left"/>
      <w:pPr>
        <w:tabs>
          <w:tab w:val="num" w:pos="0"/>
        </w:tabs>
        <w:ind w:left="360" w:hanging="360"/>
      </w:pPr>
      <w:rPr>
        <w:sz w:val="20"/>
        <w:b/>
        <w:szCs w:val="20"/>
        <w:rFonts w:ascii="Verdana" w:hAnsi="Verdana"/>
      </w:rPr>
    </w:lvl>
    <w:lvl w:ilvl="1">
      <w:start w:val="8"/>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8"/>
      <w:numFmt w:val="decimal"/>
      <w:lvlText w:val="%1"/>
      <w:lvlJc w:val="left"/>
      <w:pPr>
        <w:tabs>
          <w:tab w:val="num" w:pos="0"/>
        </w:tabs>
        <w:ind w:left="360" w:hanging="360"/>
      </w:pPr>
      <w:rPr>
        <w:b/>
        <w:bCs w:val="false"/>
        <w:rFonts w:ascii="Verdana" w:hAnsi="Verdana" w:cs="Arial"/>
      </w:rPr>
    </w:lvl>
    <w:lvl w:ilvl="1">
      <w:start w:val="1"/>
      <w:numFmt w:val="decimal"/>
      <w:lvlText w:val="%1.%2"/>
      <w:lvlJc w:val="left"/>
      <w:pPr>
        <w:tabs>
          <w:tab w:val="num" w:pos="0"/>
        </w:tabs>
        <w:ind w:left="720" w:hanging="720"/>
      </w:pPr>
      <w:rPr>
        <w:sz w:val="18"/>
        <w:b w:val="false"/>
        <w:szCs w:val="18"/>
        <w:rFonts w:ascii="Verdana" w:hAnsi="Verdana" w:cs="Arial"/>
      </w:rPr>
    </w:lvl>
    <w:lvl w:ilvl="2">
      <w:start w:val="1"/>
      <w:numFmt w:val="decimal"/>
      <w:lvlText w:val="%1.%2.%3"/>
      <w:lvlJc w:val="left"/>
      <w:pPr>
        <w:tabs>
          <w:tab w:val="num" w:pos="0"/>
        </w:tabs>
        <w:ind w:left="720" w:hanging="720"/>
      </w:pPr>
      <w:rPr>
        <w:sz w:val="18"/>
        <w:b w:val="false"/>
        <w:szCs w:val="18"/>
        <w:rFonts w:ascii="Verdana" w:hAnsi="Verdana" w:cs="Arial"/>
      </w:rPr>
    </w:lvl>
    <w:lvl w:ilvl="3">
      <w:start w:val="1"/>
      <w:numFmt w:val="decimal"/>
      <w:lvlText w:val="%1.%2.%3.%4"/>
      <w:lvlJc w:val="left"/>
      <w:pPr>
        <w:tabs>
          <w:tab w:val="num" w:pos="0"/>
        </w:tabs>
        <w:ind w:left="1080" w:hanging="1080"/>
      </w:pPr>
      <w:rPr>
        <w:b w:val="false"/>
        <w:rFonts w:cs="Arial"/>
      </w:rPr>
    </w:lvl>
    <w:lvl w:ilvl="4">
      <w:start w:val="1"/>
      <w:numFmt w:val="decimal"/>
      <w:lvlText w:val="%1.%2.%3.%4.%5"/>
      <w:lvlJc w:val="left"/>
      <w:pPr>
        <w:tabs>
          <w:tab w:val="num" w:pos="0"/>
        </w:tabs>
        <w:ind w:left="1440" w:hanging="1440"/>
      </w:pPr>
      <w:rPr>
        <w:b w:val="false"/>
        <w:rFonts w:cs="Arial"/>
      </w:rPr>
    </w:lvl>
    <w:lvl w:ilvl="5">
      <w:start w:val="1"/>
      <w:numFmt w:val="decimal"/>
      <w:lvlText w:val="%1.%2.%3.%4.%5.%6"/>
      <w:lvlJc w:val="left"/>
      <w:pPr>
        <w:tabs>
          <w:tab w:val="num" w:pos="0"/>
        </w:tabs>
        <w:ind w:left="1440" w:hanging="1440"/>
      </w:pPr>
      <w:rPr>
        <w:b w:val="false"/>
        <w:rFonts w:cs="Arial"/>
      </w:rPr>
    </w:lvl>
    <w:lvl w:ilvl="6">
      <w:start w:val="1"/>
      <w:numFmt w:val="decimal"/>
      <w:lvlText w:val="%1.%2.%3.%4.%5.%6.%7"/>
      <w:lvlJc w:val="left"/>
      <w:pPr>
        <w:tabs>
          <w:tab w:val="num" w:pos="0"/>
        </w:tabs>
        <w:ind w:left="1800" w:hanging="1800"/>
      </w:pPr>
      <w:rPr>
        <w:b w:val="false"/>
        <w:rFonts w:cs="Arial"/>
      </w:rPr>
    </w:lvl>
    <w:lvl w:ilvl="7">
      <w:start w:val="1"/>
      <w:numFmt w:val="decimal"/>
      <w:lvlText w:val="%1.%2.%3.%4.%5.%6.%7.%8"/>
      <w:lvlJc w:val="left"/>
      <w:pPr>
        <w:tabs>
          <w:tab w:val="num" w:pos="0"/>
        </w:tabs>
        <w:ind w:left="2160" w:hanging="2160"/>
      </w:pPr>
      <w:rPr>
        <w:b w:val="false"/>
        <w:rFonts w:cs="Arial"/>
      </w:rPr>
    </w:lvl>
    <w:lvl w:ilvl="8">
      <w:start w:val="1"/>
      <w:numFmt w:val="decimal"/>
      <w:lvlText w:val="%1.%2.%3.%4.%5.%6.%7.%8.%9"/>
      <w:lvlJc w:val="left"/>
      <w:pPr>
        <w:tabs>
          <w:tab w:val="num" w:pos="0"/>
        </w:tabs>
        <w:ind w:left="2160" w:hanging="2160"/>
      </w:pPr>
      <w:rPr>
        <w:b w:val="false"/>
        <w:rFonts w:cs="Arial"/>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2733</TotalTime>
  <Application>LibreOffice/24.2.6.2$Windows_X86_64 LibreOffice_project/ef66aa7e36a1bb8e65bfbc63aba53045a14d0871</Application>
  <AppVersion>15.0000</AppVersion>
  <Pages>18</Pages>
  <Words>8728</Words>
  <Characters>49566</Characters>
  <CharactersWithSpaces>57909</CharactersWithSpaces>
  <Paragraphs>329</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2025-01-06T17:54:23Z</cp:lastPrinted>
  <dcterms:modified xsi:type="dcterms:W3CDTF">2025-01-08T15:46:25Z</dcterms:modified>
  <cp:revision>159</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